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F593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7F593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CSRDE Retention Report Analysis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Cohort Characteristics</w:t>
      </w:r>
    </w:p>
    <w:p w:rsidR="00A77A47" w:rsidRPr="00351001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C02BD">
        <w:rPr>
          <w:rFonts w:ascii="Times New Roman" w:hAnsi="Times New Roman" w:cs="Times New Roman"/>
          <w:b/>
          <w:sz w:val="24"/>
          <w:szCs w:val="24"/>
        </w:rPr>
        <w:t>1</w:t>
      </w:r>
      <w:r w:rsidR="007F593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First-time Freshman Cohorts</w:t>
      </w:r>
    </w:p>
    <w:tbl>
      <w:tblPr>
        <w:tblW w:w="1362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883"/>
        <w:gridCol w:w="1293"/>
        <w:gridCol w:w="1408"/>
        <w:gridCol w:w="1168"/>
        <w:gridCol w:w="1351"/>
        <w:gridCol w:w="1128"/>
        <w:gridCol w:w="972"/>
        <w:gridCol w:w="972"/>
        <w:gridCol w:w="1307"/>
        <w:gridCol w:w="1090"/>
        <w:gridCol w:w="1150"/>
      </w:tblGrid>
      <w:tr w:rsidR="003174D8" w:rsidRPr="003174D8" w:rsidTr="003174D8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1st-term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Avg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1st-year Retention Rate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7F593C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7F593C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7F593C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C0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7F593C" w:rsidP="00C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7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C0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F5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86119" w:rsidRDefault="00486119"/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Institutional Characteristics</w:t>
      </w:r>
    </w:p>
    <w:p w:rsidR="003174D8" w:rsidRPr="00E15480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A4435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First-time Freshman Cohorts</w:t>
      </w:r>
    </w:p>
    <w:tbl>
      <w:tblPr>
        <w:tblW w:w="11953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1536"/>
        <w:gridCol w:w="1580"/>
        <w:gridCol w:w="1280"/>
        <w:gridCol w:w="800"/>
        <w:gridCol w:w="1020"/>
        <w:gridCol w:w="2240"/>
        <w:gridCol w:w="1200"/>
        <w:gridCol w:w="1000"/>
      </w:tblGrid>
      <w:tr w:rsidR="003174D8" w:rsidRPr="003174D8" w:rsidTr="003174D8">
        <w:trPr>
          <w:trHeight w:val="33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Carnegie Classification Data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 Undergrad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Avg. Admission Scores - All Freshmen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1st-yr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Reten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Rates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Classification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 of Urbanization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&amp; Setting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Distant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Remote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Midsize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A44350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RU/VH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A44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4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174D8" w:rsidRDefault="00913349" w:rsidP="00317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</w:t>
      </w:r>
      <w:r w:rsidR="00FA6CD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FA6CDE">
        <w:rPr>
          <w:rFonts w:ascii="Times New Roman" w:hAnsi="Times New Roman" w:cs="Times New Roman"/>
          <w:b/>
          <w:sz w:val="28"/>
          <w:szCs w:val="28"/>
        </w:rPr>
        <w:t>4</w:t>
      </w:r>
      <w:r w:rsidR="003174D8">
        <w:rPr>
          <w:rFonts w:ascii="Times New Roman" w:hAnsi="Times New Roman" w:cs="Times New Roman"/>
          <w:b/>
          <w:sz w:val="28"/>
          <w:szCs w:val="28"/>
        </w:rPr>
        <w:t xml:space="preserve"> CSRDE Retention Report Analysis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Cohort Characteristics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</w:t>
      </w:r>
      <w:r w:rsidR="00FA6CD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First-time Freshman Cohorts</w:t>
      </w:r>
    </w:p>
    <w:tbl>
      <w:tblPr>
        <w:tblW w:w="14716" w:type="dxa"/>
        <w:jc w:val="center"/>
        <w:tblInd w:w="230" w:type="dxa"/>
        <w:tblLook w:val="04A0" w:firstRow="1" w:lastRow="0" w:firstColumn="1" w:lastColumn="0" w:noHBand="0" w:noVBand="1"/>
      </w:tblPr>
      <w:tblGrid>
        <w:gridCol w:w="1297"/>
        <w:gridCol w:w="960"/>
        <w:gridCol w:w="1140"/>
        <w:gridCol w:w="1220"/>
        <w:gridCol w:w="1160"/>
        <w:gridCol w:w="1240"/>
        <w:gridCol w:w="800"/>
        <w:gridCol w:w="800"/>
        <w:gridCol w:w="800"/>
        <w:gridCol w:w="1180"/>
        <w:gridCol w:w="1120"/>
        <w:gridCol w:w="920"/>
        <w:gridCol w:w="920"/>
        <w:gridCol w:w="1296"/>
      </w:tblGrid>
      <w:tr w:rsidR="003174D8" w:rsidRPr="003174D8" w:rsidTr="00A424AD">
        <w:trPr>
          <w:trHeight w:val="315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1st-term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Avg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GPA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1st-yr Retention Rate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6-year Graduation Rate</w:t>
            </w: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5F4629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5F4629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5F4629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5F4629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5F4629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5F4629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5F4629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5F4629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5F4629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4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5F4629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5F4629" w:rsidP="005F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A424AD">
        <w:trPr>
          <w:trHeight w:val="31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FA6CDE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FA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A6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174D8" w:rsidRDefault="003174D8" w:rsidP="002A444F"/>
    <w:p w:rsidR="002A444F" w:rsidRDefault="002A444F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Institutional Characteristics</w:t>
      </w:r>
    </w:p>
    <w:p w:rsidR="003174D8" w:rsidRDefault="00D87B8E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</w:t>
      </w:r>
      <w:r w:rsidR="005F4629">
        <w:rPr>
          <w:rFonts w:ascii="Times New Roman" w:hAnsi="Times New Roman" w:cs="Times New Roman"/>
          <w:b/>
          <w:sz w:val="24"/>
          <w:szCs w:val="24"/>
        </w:rPr>
        <w:t>7</w:t>
      </w:r>
      <w:r w:rsidR="002A444F">
        <w:rPr>
          <w:rFonts w:ascii="Times New Roman" w:hAnsi="Times New Roman" w:cs="Times New Roman"/>
          <w:b/>
          <w:sz w:val="24"/>
          <w:szCs w:val="24"/>
        </w:rPr>
        <w:t xml:space="preserve"> First-time Freshman Cohort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1604"/>
        <w:gridCol w:w="1568"/>
        <w:gridCol w:w="1246"/>
        <w:gridCol w:w="1296"/>
        <w:gridCol w:w="1356"/>
        <w:gridCol w:w="2551"/>
        <w:gridCol w:w="1200"/>
        <w:gridCol w:w="1200"/>
        <w:gridCol w:w="1296"/>
      </w:tblGrid>
      <w:tr w:rsidR="005C4571" w:rsidRPr="001E31AD" w:rsidTr="005C4571">
        <w:tc>
          <w:tcPr>
            <w:tcW w:w="1298" w:type="dxa"/>
            <w:vMerge w:val="restart"/>
            <w:tcBorders>
              <w:right w:val="double" w:sz="4" w:space="0" w:color="auto"/>
            </w:tcBorders>
            <w:vAlign w:val="bottom"/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</w:p>
        </w:tc>
        <w:tc>
          <w:tcPr>
            <w:tcW w:w="443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Carnegie Classification</w:t>
            </w:r>
          </w:p>
        </w:tc>
        <w:tc>
          <w:tcPr>
            <w:tcW w:w="267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 Undergrad</w:t>
            </w:r>
          </w:p>
        </w:tc>
        <w:tc>
          <w:tcPr>
            <w:tcW w:w="2584" w:type="dxa"/>
            <w:vMerge w:val="restart"/>
            <w:tcBorders>
              <w:lef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Avg. Admission Scores – All Freshman</w:t>
            </w:r>
          </w:p>
        </w:tc>
        <w:tc>
          <w:tcPr>
            <w:tcW w:w="2418" w:type="dxa"/>
            <w:gridSpan w:val="2"/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1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-yr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Rates</w:t>
            </w:r>
          </w:p>
        </w:tc>
        <w:tc>
          <w:tcPr>
            <w:tcW w:w="1209" w:type="dxa"/>
            <w:vMerge w:val="restart"/>
          </w:tcPr>
          <w:p w:rsidR="005C4571" w:rsidRPr="001E31AD" w:rsidRDefault="005C4571" w:rsidP="005C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6-year Graduation Rate</w:t>
            </w:r>
          </w:p>
        </w:tc>
      </w:tr>
      <w:tr w:rsidR="005C4571" w:rsidRPr="001E31AD" w:rsidTr="005C4571">
        <w:trPr>
          <w:trHeight w:val="276"/>
        </w:trPr>
        <w:tc>
          <w:tcPr>
            <w:tcW w:w="1298" w:type="dxa"/>
            <w:vMerge/>
            <w:tcBorders>
              <w:righ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lef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Classification</w:t>
            </w:r>
          </w:p>
        </w:tc>
        <w:tc>
          <w:tcPr>
            <w:tcW w:w="1571" w:type="dxa"/>
            <w:vMerge w:val="restart"/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of Urbanization</w:t>
            </w:r>
          </w:p>
        </w:tc>
        <w:tc>
          <w:tcPr>
            <w:tcW w:w="1254" w:type="dxa"/>
            <w:vMerge w:val="restart"/>
            <w:tcBorders>
              <w:righ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 &amp; Setting</w:t>
            </w:r>
          </w:p>
        </w:tc>
        <w:tc>
          <w:tcPr>
            <w:tcW w:w="1311" w:type="dxa"/>
            <w:vMerge w:val="restart"/>
            <w:tcBorders>
              <w:left w:val="double" w:sz="4" w:space="0" w:color="auto"/>
            </w:tcBorders>
            <w:vAlign w:val="bottom"/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Part-Time</w:t>
            </w:r>
          </w:p>
        </w:tc>
        <w:tc>
          <w:tcPr>
            <w:tcW w:w="1365" w:type="dxa"/>
            <w:vMerge w:val="restart"/>
            <w:tcBorders>
              <w:right w:val="double" w:sz="4" w:space="0" w:color="auto"/>
            </w:tcBorders>
            <w:vAlign w:val="bottom"/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Degree-Seeking</w:t>
            </w:r>
          </w:p>
        </w:tc>
        <w:tc>
          <w:tcPr>
            <w:tcW w:w="2584" w:type="dxa"/>
            <w:vMerge/>
            <w:tcBorders>
              <w:left w:val="double" w:sz="4" w:space="0" w:color="auto"/>
            </w:tcBorders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vAlign w:val="bottom"/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to Spring</w:t>
            </w:r>
          </w:p>
        </w:tc>
        <w:tc>
          <w:tcPr>
            <w:tcW w:w="1209" w:type="dxa"/>
            <w:vMerge w:val="restart"/>
            <w:vAlign w:val="center"/>
          </w:tcPr>
          <w:p w:rsidR="005C4571" w:rsidRPr="001E31AD" w:rsidRDefault="005C4571" w:rsidP="005C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to Fall</w:t>
            </w:r>
          </w:p>
        </w:tc>
        <w:tc>
          <w:tcPr>
            <w:tcW w:w="1209" w:type="dxa"/>
            <w:vMerge/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71" w:rsidRPr="001E31AD" w:rsidTr="001E31AD">
        <w:tc>
          <w:tcPr>
            <w:tcW w:w="1298" w:type="dxa"/>
            <w:vMerge/>
            <w:tcBorders>
              <w:righ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left w:val="double" w:sz="4" w:space="0" w:color="auto"/>
            </w:tcBorders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right w:val="double" w:sz="4" w:space="0" w:color="auto"/>
            </w:tcBorders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</w:tcBorders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right w:val="double" w:sz="4" w:space="0" w:color="auto"/>
            </w:tcBorders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Borders>
              <w:left w:val="double" w:sz="4" w:space="0" w:color="auto"/>
            </w:tcBorders>
          </w:tcPr>
          <w:p w:rsidR="005C4571" w:rsidRPr="001E31AD" w:rsidRDefault="005C4571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</w:p>
        </w:tc>
        <w:tc>
          <w:tcPr>
            <w:tcW w:w="1209" w:type="dxa"/>
            <w:vMerge/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C4571" w:rsidRPr="001E31AD" w:rsidRDefault="005C4571" w:rsidP="005F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AD" w:rsidRPr="001E31AD" w:rsidTr="001E31AD">
        <w:tc>
          <w:tcPr>
            <w:tcW w:w="1298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</w:t>
            </w:r>
          </w:p>
        </w:tc>
        <w:tc>
          <w:tcPr>
            <w:tcW w:w="1606" w:type="dxa"/>
            <w:tcBorders>
              <w:lef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L</w:t>
            </w:r>
          </w:p>
        </w:tc>
        <w:tc>
          <w:tcPr>
            <w:tcW w:w="1571" w:type="dxa"/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Small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M4/NR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2584" w:type="dxa"/>
            <w:tcBorders>
              <w:left w:val="double" w:sz="4" w:space="0" w:color="auto"/>
            </w:tcBorders>
          </w:tcPr>
          <w:p w:rsidR="001E31AD" w:rsidRPr="001E31AD" w:rsidRDefault="003565AE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85.6%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68.3%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39.0%</w:t>
            </w:r>
          </w:p>
        </w:tc>
      </w:tr>
      <w:tr w:rsidR="001E31AD" w:rsidRPr="001E31AD" w:rsidTr="001E31AD">
        <w:tc>
          <w:tcPr>
            <w:tcW w:w="1298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HSU</w:t>
            </w:r>
          </w:p>
        </w:tc>
        <w:tc>
          <w:tcPr>
            <w:tcW w:w="1606" w:type="dxa"/>
            <w:tcBorders>
              <w:lef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M</w:t>
            </w:r>
          </w:p>
        </w:tc>
        <w:tc>
          <w:tcPr>
            <w:tcW w:w="1571" w:type="dxa"/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Town Distant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M4/R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2584" w:type="dxa"/>
            <w:tcBorders>
              <w:left w:val="double" w:sz="4" w:space="0" w:color="auto"/>
            </w:tcBorders>
          </w:tcPr>
          <w:p w:rsidR="001E31AD" w:rsidRPr="001E31AD" w:rsidRDefault="003565AE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55.4%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28.5%</w:t>
            </w:r>
          </w:p>
        </w:tc>
      </w:tr>
      <w:tr w:rsidR="001E31AD" w:rsidRPr="001E31AD" w:rsidTr="00A424AD">
        <w:tc>
          <w:tcPr>
            <w:tcW w:w="1298" w:type="dxa"/>
            <w:tcBorders>
              <w:right w:val="double" w:sz="4" w:space="0" w:color="auto"/>
            </w:tcBorders>
            <w:shd w:val="clear" w:color="auto" w:fill="FFFF00"/>
            <w:vAlign w:val="bottom"/>
          </w:tcPr>
          <w:p w:rsidR="001E31AD" w:rsidRPr="001E31AD" w:rsidRDefault="001E31AD" w:rsidP="00A4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</w:p>
        </w:tc>
        <w:tc>
          <w:tcPr>
            <w:tcW w:w="1606" w:type="dxa"/>
            <w:tcBorders>
              <w:left w:val="double" w:sz="4" w:space="0" w:color="auto"/>
            </w:tcBorders>
            <w:shd w:val="clear" w:color="auto" w:fill="FFFF00"/>
            <w:vAlign w:val="bottom"/>
          </w:tcPr>
          <w:p w:rsidR="001E31AD" w:rsidRPr="001E31AD" w:rsidRDefault="001E31AD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Master’s M</w:t>
            </w:r>
          </w:p>
        </w:tc>
        <w:tc>
          <w:tcPr>
            <w:tcW w:w="1571" w:type="dxa"/>
            <w:shd w:val="clear" w:color="auto" w:fill="FFFF00"/>
            <w:vAlign w:val="bottom"/>
          </w:tcPr>
          <w:p w:rsidR="001E31AD" w:rsidRPr="001E31AD" w:rsidRDefault="001E31AD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Town Remote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shd w:val="clear" w:color="auto" w:fill="FFFF00"/>
            <w:vAlign w:val="bottom"/>
          </w:tcPr>
          <w:p w:rsidR="001E31AD" w:rsidRPr="001E31AD" w:rsidRDefault="001E31AD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S4/R</w:t>
            </w:r>
          </w:p>
        </w:tc>
        <w:tc>
          <w:tcPr>
            <w:tcW w:w="1311" w:type="dxa"/>
            <w:tcBorders>
              <w:left w:val="double" w:sz="4" w:space="0" w:color="auto"/>
            </w:tcBorders>
            <w:shd w:val="clear" w:color="auto" w:fill="FFFF00"/>
            <w:vAlign w:val="bottom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365" w:type="dxa"/>
            <w:tcBorders>
              <w:right w:val="double" w:sz="4" w:space="0" w:color="auto"/>
            </w:tcBorders>
            <w:shd w:val="clear" w:color="auto" w:fill="FFFF00"/>
            <w:vAlign w:val="bottom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584" w:type="dxa"/>
            <w:tcBorders>
              <w:left w:val="double" w:sz="4" w:space="0" w:color="auto"/>
            </w:tcBorders>
            <w:shd w:val="clear" w:color="auto" w:fill="FFFF00"/>
            <w:vAlign w:val="bottom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209" w:type="dxa"/>
            <w:shd w:val="clear" w:color="auto" w:fill="FFFF00"/>
            <w:vAlign w:val="bottom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79.0%</w:t>
            </w:r>
          </w:p>
        </w:tc>
        <w:tc>
          <w:tcPr>
            <w:tcW w:w="1209" w:type="dxa"/>
            <w:shd w:val="clear" w:color="auto" w:fill="FFFF00"/>
            <w:vAlign w:val="bottom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56.4%</w:t>
            </w:r>
          </w:p>
        </w:tc>
        <w:tc>
          <w:tcPr>
            <w:tcW w:w="1209" w:type="dxa"/>
            <w:shd w:val="clear" w:color="auto" w:fill="FFFF00"/>
            <w:vAlign w:val="bottom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27.7%</w:t>
            </w:r>
          </w:p>
        </w:tc>
      </w:tr>
      <w:tr w:rsidR="001E31AD" w:rsidRPr="001E31AD" w:rsidTr="001E31AD">
        <w:tc>
          <w:tcPr>
            <w:tcW w:w="1298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AD">
              <w:rPr>
                <w:rFonts w:ascii="Times New Roman" w:hAnsi="Times New Roman" w:cs="Times New Roman"/>
                <w:sz w:val="24"/>
                <w:szCs w:val="24"/>
              </w:rPr>
              <w:t>UALR</w:t>
            </w:r>
          </w:p>
        </w:tc>
        <w:tc>
          <w:tcPr>
            <w:tcW w:w="1606" w:type="dxa"/>
            <w:tcBorders>
              <w:lef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</w:t>
            </w:r>
          </w:p>
        </w:tc>
        <w:tc>
          <w:tcPr>
            <w:tcW w:w="1571" w:type="dxa"/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Midsize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M4/NR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2584" w:type="dxa"/>
            <w:tcBorders>
              <w:left w:val="double" w:sz="4" w:space="0" w:color="auto"/>
            </w:tcBorders>
          </w:tcPr>
          <w:p w:rsidR="001E31AD" w:rsidRPr="001E31AD" w:rsidRDefault="003565AE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83.9%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62.2%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21.4%</w:t>
            </w:r>
          </w:p>
        </w:tc>
      </w:tr>
      <w:tr w:rsidR="001E31AD" w:rsidRPr="001E31AD" w:rsidTr="001E31AD">
        <w:tc>
          <w:tcPr>
            <w:tcW w:w="1298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1AD">
              <w:rPr>
                <w:rFonts w:ascii="Times New Roman" w:hAnsi="Times New Roman" w:cs="Times New Roman"/>
                <w:sz w:val="24"/>
                <w:szCs w:val="24"/>
              </w:rPr>
              <w:t>U of A</w:t>
            </w:r>
          </w:p>
        </w:tc>
        <w:tc>
          <w:tcPr>
            <w:tcW w:w="1606" w:type="dxa"/>
            <w:tcBorders>
              <w:lef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RU/VH</w:t>
            </w:r>
          </w:p>
        </w:tc>
        <w:tc>
          <w:tcPr>
            <w:tcW w:w="1571" w:type="dxa"/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Small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1E31AD" w:rsidRPr="001E31AD" w:rsidRDefault="001E31AD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L4/R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2584" w:type="dxa"/>
            <w:tcBorders>
              <w:left w:val="double" w:sz="4" w:space="0" w:color="auto"/>
            </w:tcBorders>
          </w:tcPr>
          <w:p w:rsidR="001E31AD" w:rsidRPr="001E31AD" w:rsidRDefault="003565AE" w:rsidP="001E3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25.3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92.4%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80.7%</w:t>
            </w:r>
          </w:p>
        </w:tc>
        <w:tc>
          <w:tcPr>
            <w:tcW w:w="1209" w:type="dxa"/>
          </w:tcPr>
          <w:p w:rsidR="001E31AD" w:rsidRPr="001E31AD" w:rsidRDefault="003565AE" w:rsidP="0035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60.1%</w:t>
            </w:r>
          </w:p>
        </w:tc>
      </w:tr>
    </w:tbl>
    <w:p w:rsidR="00480982" w:rsidRDefault="00480982" w:rsidP="00271D1A"/>
    <w:p w:rsidR="00762886" w:rsidRDefault="00762886" w:rsidP="00271D1A">
      <w:pPr>
        <w:jc w:val="center"/>
        <w:sectPr w:rsidR="00762886" w:rsidSect="002A444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A444F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26B4">
        <w:rPr>
          <w:rFonts w:ascii="Times New Roman" w:hAnsi="Times New Roman" w:cs="Times New Roman"/>
          <w:b/>
          <w:sz w:val="24"/>
          <w:szCs w:val="24"/>
        </w:rPr>
        <w:lastRenderedPageBreak/>
        <w:t>Cohort Head Count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414F52" w:rsidRPr="00414F52" w:rsidTr="00414F5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563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544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527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616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</w:tr>
      <w:tr w:rsidR="00157E17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E17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E17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E17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E17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E17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57E17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642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15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</w:t>
            </w:r>
            <w:r w:rsidR="00157E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57E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E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E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157E17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586</w:t>
            </w:r>
          </w:p>
        </w:tc>
      </w:tr>
    </w:tbl>
    <w:p w:rsidR="00157E17" w:rsidRDefault="00157E17" w:rsidP="00157E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5029" w:rsidRPr="00EF5029" w:rsidRDefault="00157E17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UALR, HSU</w:t>
      </w:r>
      <w:r w:rsidR="00414F52">
        <w:rPr>
          <w:rFonts w:ascii="Times New Roman" w:hAnsi="Times New Roman" w:cs="Times New Roman"/>
          <w:sz w:val="24"/>
          <w:szCs w:val="24"/>
        </w:rPr>
        <w:t xml:space="preserve"> and SAU</w:t>
      </w:r>
      <w:r w:rsidR="00EF5029">
        <w:rPr>
          <w:rFonts w:ascii="Times New Roman" w:hAnsi="Times New Roman" w:cs="Times New Roman"/>
          <w:sz w:val="24"/>
          <w:szCs w:val="24"/>
        </w:rPr>
        <w:t xml:space="preserve"> showed a </w:t>
      </w:r>
      <w:r w:rsidR="00414F52">
        <w:rPr>
          <w:rFonts w:ascii="Times New Roman" w:hAnsi="Times New Roman" w:cs="Times New Roman"/>
          <w:sz w:val="24"/>
          <w:szCs w:val="24"/>
        </w:rPr>
        <w:t>de</w:t>
      </w:r>
      <w:r w:rsidR="00EF5029">
        <w:rPr>
          <w:rFonts w:ascii="Times New Roman" w:hAnsi="Times New Roman" w:cs="Times New Roman"/>
          <w:sz w:val="24"/>
          <w:szCs w:val="24"/>
        </w:rPr>
        <w:t>crease in the cohort head count from 20</w:t>
      </w:r>
      <w:r w:rsidR="00414F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F5029">
        <w:rPr>
          <w:rFonts w:ascii="Times New Roman" w:hAnsi="Times New Roman" w:cs="Times New Roman"/>
          <w:sz w:val="24"/>
          <w:szCs w:val="24"/>
        </w:rPr>
        <w:t xml:space="preserve"> to 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F5029">
        <w:rPr>
          <w:rFonts w:ascii="Times New Roman" w:hAnsi="Times New Roman" w:cs="Times New Roman"/>
          <w:sz w:val="24"/>
          <w:szCs w:val="24"/>
        </w:rPr>
        <w:t>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Percentage Who Received Federal Grants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A76C5" w:rsidRPr="008A76C5" w:rsidTr="008A76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47%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98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8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9805E3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</w:tr>
      <w:tr w:rsidR="008A4D5D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</w:tr>
      <w:tr w:rsidR="008A76C5" w:rsidRPr="008A76C5" w:rsidTr="008A4D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</w:t>
            </w:r>
            <w:r w:rsidR="008A4D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6C5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6C5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6C5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6C5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D5D" w:rsidRPr="008A4D5D" w:rsidRDefault="008A4D5D" w:rsidP="008A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</w:tr>
    </w:tbl>
    <w:p w:rsidR="008A4D5D" w:rsidRDefault="008A4D5D" w:rsidP="008A4D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Pr="00EF5029" w:rsidRDefault="008A4D5D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schools showed a decrease or remained the same for 2012</w:t>
      </w:r>
      <w:r w:rsidR="00EF5029">
        <w:rPr>
          <w:rFonts w:ascii="Times New Roman" w:hAnsi="Times New Roman" w:cs="Times New Roman"/>
          <w:sz w:val="24"/>
          <w:szCs w:val="24"/>
        </w:rPr>
        <w:t>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Average ACT Scores for All Freshman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A76C5" w:rsidRPr="008A76C5" w:rsidTr="008A76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</w:tr>
      <w:tr w:rsidR="008A76C5" w:rsidRPr="008A76C5" w:rsidTr="008A4D5D">
        <w:trPr>
          <w:trHeight w:val="3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98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980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98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</w:t>
            </w:r>
            <w:r w:rsidR="009805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20.9</w:t>
            </w:r>
          </w:p>
        </w:tc>
      </w:tr>
      <w:tr w:rsidR="008A76C5" w:rsidRPr="008A76C5" w:rsidTr="008A4D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</w:tr>
      <w:tr w:rsidR="008A4D5D" w:rsidRPr="008A76C5" w:rsidTr="008A4D5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21.3</w:t>
            </w:r>
          </w:p>
        </w:tc>
      </w:tr>
    </w:tbl>
    <w:p w:rsidR="005726B4" w:rsidRDefault="008A4D5D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of A, ASU and UALR showed an increase while HSU stayed the same. SAU had a decrease for 2012. </w:t>
      </w:r>
      <w:r w:rsidR="00EF5029">
        <w:rPr>
          <w:rFonts w:ascii="Times New Roman" w:hAnsi="Times New Roman" w:cs="Times New Roman"/>
          <w:sz w:val="24"/>
          <w:szCs w:val="24"/>
        </w:rPr>
        <w:t>U of A continues to have the highest average ACT score.</w:t>
      </w: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First-Year Retention Rates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A76C5" w:rsidRPr="008A76C5" w:rsidTr="008A76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</w:tr>
      <w:tr w:rsidR="008A76C5" w:rsidRPr="008A76C5" w:rsidTr="008A4D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  <w:tr w:rsidR="008A4D5D" w:rsidRPr="008A76C5" w:rsidTr="008A4D5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D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8A4D5D" w:rsidRPr="008A76C5" w:rsidRDefault="008A4D5D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</w:tr>
    </w:tbl>
    <w:p w:rsidR="005726B4" w:rsidRPr="00EF5029" w:rsidRDefault="008A76C5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</w:t>
      </w:r>
      <w:r w:rsidR="008A4D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ASU</w:t>
      </w:r>
      <w:r w:rsidR="008A4D5D">
        <w:rPr>
          <w:rFonts w:ascii="Times New Roman" w:hAnsi="Times New Roman" w:cs="Times New Roman"/>
          <w:sz w:val="24"/>
          <w:szCs w:val="24"/>
        </w:rPr>
        <w:t>, UALR and SAU</w:t>
      </w:r>
      <w:r>
        <w:rPr>
          <w:rFonts w:ascii="Times New Roman" w:hAnsi="Times New Roman" w:cs="Times New Roman"/>
          <w:sz w:val="24"/>
          <w:szCs w:val="24"/>
        </w:rPr>
        <w:t xml:space="preserve"> showed a</w:t>
      </w:r>
      <w:r w:rsidR="008A4D5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D5D">
        <w:rPr>
          <w:rFonts w:ascii="Times New Roman" w:hAnsi="Times New Roman" w:cs="Times New Roman"/>
          <w:sz w:val="24"/>
          <w:szCs w:val="24"/>
        </w:rPr>
        <w:t>increa</w:t>
      </w:r>
      <w:r>
        <w:rPr>
          <w:rFonts w:ascii="Times New Roman" w:hAnsi="Times New Roman" w:cs="Times New Roman"/>
          <w:sz w:val="24"/>
          <w:szCs w:val="24"/>
        </w:rPr>
        <w:t>se in first-year retention rates for 201</w:t>
      </w:r>
      <w:r w:rsidR="008A4D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while </w:t>
      </w:r>
      <w:r w:rsidR="008A4D5D">
        <w:rPr>
          <w:rFonts w:ascii="Times New Roman" w:hAnsi="Times New Roman" w:cs="Times New Roman"/>
          <w:sz w:val="24"/>
          <w:szCs w:val="24"/>
        </w:rPr>
        <w:t>HSU showed a decrease</w:t>
      </w:r>
      <w:r w:rsidR="00EF5029">
        <w:rPr>
          <w:rFonts w:ascii="Times New Roman" w:hAnsi="Times New Roman" w:cs="Times New Roman"/>
          <w:sz w:val="24"/>
          <w:szCs w:val="24"/>
        </w:rPr>
        <w:t>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6-Year Graduation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900"/>
        <w:gridCol w:w="900"/>
        <w:gridCol w:w="990"/>
        <w:gridCol w:w="900"/>
        <w:gridCol w:w="810"/>
      </w:tblGrid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Cohort</w:t>
            </w:r>
          </w:p>
        </w:tc>
        <w:tc>
          <w:tcPr>
            <w:tcW w:w="90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of A</w:t>
            </w:r>
          </w:p>
        </w:tc>
        <w:tc>
          <w:tcPr>
            <w:tcW w:w="90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ASU</w:t>
            </w:r>
          </w:p>
        </w:tc>
        <w:tc>
          <w:tcPr>
            <w:tcW w:w="99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UALR</w:t>
            </w:r>
          </w:p>
        </w:tc>
        <w:tc>
          <w:tcPr>
            <w:tcW w:w="90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HSU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SAU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2000-2006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2001-2007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36%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2002-2008</w:t>
            </w:r>
          </w:p>
        </w:tc>
        <w:tc>
          <w:tcPr>
            <w:tcW w:w="90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  <w:tc>
          <w:tcPr>
            <w:tcW w:w="90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0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32%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2003-2009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00" w:type="dxa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99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2004-2010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00" w:type="dxa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2005-2011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33%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2006-2012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33%</w:t>
            </w:r>
          </w:p>
        </w:tc>
      </w:tr>
      <w:tr w:rsidR="008A4D5D" w:rsidTr="00CD1502">
        <w:tc>
          <w:tcPr>
            <w:tcW w:w="1440" w:type="dxa"/>
          </w:tcPr>
          <w:p w:rsidR="008A4D5D" w:rsidRPr="008A76C5" w:rsidRDefault="008A4D5D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2007-2013</w:t>
            </w:r>
          </w:p>
        </w:tc>
        <w:tc>
          <w:tcPr>
            <w:tcW w:w="900" w:type="dxa"/>
          </w:tcPr>
          <w:p w:rsidR="008A4D5D" w:rsidRDefault="008A4D5D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00" w:type="dxa"/>
          </w:tcPr>
          <w:p w:rsidR="008A4D5D" w:rsidRDefault="00F4268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39%</w:t>
            </w:r>
          </w:p>
        </w:tc>
        <w:tc>
          <w:tcPr>
            <w:tcW w:w="990" w:type="dxa"/>
          </w:tcPr>
          <w:p w:rsidR="008A4D5D" w:rsidRPr="00CD1502" w:rsidRDefault="00F4268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685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900" w:type="dxa"/>
          </w:tcPr>
          <w:p w:rsidR="008A4D5D" w:rsidRDefault="00F4268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29%</w:t>
            </w:r>
          </w:p>
        </w:tc>
        <w:tc>
          <w:tcPr>
            <w:tcW w:w="810" w:type="dxa"/>
            <w:shd w:val="clear" w:color="auto" w:fill="FFFF00"/>
          </w:tcPr>
          <w:p w:rsidR="008A4D5D" w:rsidRPr="00CD1502" w:rsidRDefault="00F4268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268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28%</w:t>
            </w:r>
          </w:p>
        </w:tc>
      </w:tr>
    </w:tbl>
    <w:p w:rsidR="005726B4" w:rsidRDefault="00F42685" w:rsidP="00CD15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of A remained the same while </w:t>
      </w:r>
      <w:r w:rsidR="00CD1502">
        <w:rPr>
          <w:rFonts w:ascii="Times New Roman" w:hAnsi="Times New Roman" w:cs="Times New Roman"/>
          <w:sz w:val="24"/>
          <w:szCs w:val="24"/>
        </w:rPr>
        <w:t>UALR showed a</w:t>
      </w:r>
      <w:r>
        <w:rPr>
          <w:rFonts w:ascii="Times New Roman" w:hAnsi="Times New Roman" w:cs="Times New Roman"/>
          <w:sz w:val="24"/>
          <w:szCs w:val="24"/>
        </w:rPr>
        <w:t>n</w:t>
      </w:r>
      <w:r w:rsidR="00CD1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CD1502">
        <w:rPr>
          <w:rFonts w:ascii="Times New Roman" w:hAnsi="Times New Roman" w:cs="Times New Roman"/>
          <w:sz w:val="24"/>
          <w:szCs w:val="24"/>
        </w:rPr>
        <w:t>crease in 6-year graduation rates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1502">
        <w:rPr>
          <w:rFonts w:ascii="Times New Roman" w:hAnsi="Times New Roman" w:cs="Times New Roman"/>
          <w:sz w:val="24"/>
          <w:szCs w:val="24"/>
        </w:rPr>
        <w:t>SAU</w:t>
      </w:r>
      <w:r>
        <w:rPr>
          <w:rFonts w:ascii="Times New Roman" w:hAnsi="Times New Roman" w:cs="Times New Roman"/>
          <w:sz w:val="24"/>
          <w:szCs w:val="24"/>
        </w:rPr>
        <w:t>, ASU and HSU showed a decrease</w:t>
      </w:r>
      <w:r w:rsidR="00CD1502">
        <w:rPr>
          <w:rFonts w:ascii="Times New Roman" w:hAnsi="Times New Roman" w:cs="Times New Roman"/>
          <w:sz w:val="24"/>
          <w:szCs w:val="24"/>
        </w:rPr>
        <w:t>.</w:t>
      </w: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 for the university.</w:t>
      </w:r>
    </w:p>
    <w:p w:rsidR="005726B4" w:rsidRDefault="005726B4" w:rsidP="002A444F">
      <w:pPr>
        <w:jc w:val="center"/>
        <w:sectPr w:rsidR="005726B4" w:rsidSect="002A44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444F" w:rsidRDefault="005726B4" w:rsidP="002A4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1D56D6">
        <w:rPr>
          <w:rFonts w:ascii="Times New Roman" w:hAnsi="Times New Roman" w:cs="Times New Roman"/>
          <w:b/>
          <w:sz w:val="28"/>
          <w:szCs w:val="28"/>
        </w:rPr>
        <w:t>1</w:t>
      </w:r>
      <w:r w:rsidR="00704AB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&amp; 201</w:t>
      </w:r>
      <w:r w:rsidR="00704AB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CSRDE Comparison</w:t>
      </w:r>
    </w:p>
    <w:tbl>
      <w:tblPr>
        <w:tblW w:w="13697" w:type="dxa"/>
        <w:jc w:val="center"/>
        <w:tblInd w:w="93" w:type="dxa"/>
        <w:tblLook w:val="04A0" w:firstRow="1" w:lastRow="0" w:firstColumn="1" w:lastColumn="0" w:noHBand="0" w:noVBand="1"/>
      </w:tblPr>
      <w:tblGrid>
        <w:gridCol w:w="897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5726B4" w:rsidRPr="005726B4" w:rsidTr="001D56D6">
        <w:trPr>
          <w:trHeight w:val="315"/>
          <w:jc w:val="center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Underrep</w:t>
            </w:r>
            <w:proofErr w:type="spellEnd"/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Years of Older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High School Rank</w:t>
            </w:r>
          </w:p>
        </w:tc>
      </w:tr>
      <w:tr w:rsidR="005726B4" w:rsidRPr="005726B4" w:rsidTr="001D56D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26-50%</w:t>
            </w:r>
          </w:p>
        </w:tc>
      </w:tr>
      <w:tr w:rsidR="00704AB4" w:rsidRPr="005726B4" w:rsidTr="00704AB4">
        <w:trPr>
          <w:trHeight w:val="330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04AB4" w:rsidRPr="005726B4" w:rsidRDefault="00704A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704AB4" w:rsidRPr="005726B4" w:rsidTr="00704AB4">
        <w:trPr>
          <w:trHeight w:val="3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AB4" w:rsidRPr="005726B4" w:rsidRDefault="00704A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704AB4" w:rsidRPr="005726B4" w:rsidTr="00704AB4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AB4" w:rsidRPr="005726B4" w:rsidRDefault="00704A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</w:tr>
      <w:tr w:rsidR="00704AB4" w:rsidRPr="005726B4" w:rsidTr="00704AB4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04AB4" w:rsidRPr="005726B4" w:rsidRDefault="00704A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</w:tr>
      <w:tr w:rsidR="00704AB4" w:rsidRPr="005726B4" w:rsidTr="00704AB4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AB4" w:rsidRPr="005726B4" w:rsidRDefault="00704A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</w:tr>
      <w:tr w:rsidR="00704AB4" w:rsidRPr="005726B4" w:rsidTr="00704AB4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AB4" w:rsidRPr="005726B4" w:rsidRDefault="00704A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4414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5726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F06E8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AB4" w:rsidRPr="00704AB4" w:rsidRDefault="00704AB4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B4">
              <w:rPr>
                <w:rFonts w:ascii="Times New Roman" w:eastAsia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04AB4" w:rsidRPr="005726B4" w:rsidRDefault="008F06E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</w:tr>
    </w:tbl>
    <w:p w:rsidR="005726B4" w:rsidRDefault="008F06E8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</w:t>
      </w:r>
      <w:r w:rsidR="006640E1">
        <w:rPr>
          <w:rFonts w:ascii="Times New Roman" w:hAnsi="Times New Roman" w:cs="Times New Roman"/>
          <w:sz w:val="24"/>
          <w:szCs w:val="24"/>
        </w:rPr>
        <w:t xml:space="preserve"> and U of A</w:t>
      </w:r>
      <w:r w:rsidR="00EF5029">
        <w:rPr>
          <w:rFonts w:ascii="Times New Roman" w:hAnsi="Times New Roman" w:cs="Times New Roman"/>
          <w:sz w:val="24"/>
          <w:szCs w:val="24"/>
        </w:rPr>
        <w:t xml:space="preserve"> showed an increase in the 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F5029">
        <w:rPr>
          <w:rFonts w:ascii="Times New Roman" w:hAnsi="Times New Roman" w:cs="Times New Roman"/>
          <w:sz w:val="24"/>
          <w:szCs w:val="24"/>
        </w:rPr>
        <w:t xml:space="preserve"> cohort head counts.</w:t>
      </w:r>
    </w:p>
    <w:p w:rsidR="00EF5029" w:rsidRDefault="003B006C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</w:t>
      </w:r>
      <w:r w:rsidR="008F06E8">
        <w:rPr>
          <w:rFonts w:ascii="Times New Roman" w:hAnsi="Times New Roman" w:cs="Times New Roman"/>
          <w:sz w:val="24"/>
          <w:szCs w:val="24"/>
        </w:rPr>
        <w:t xml:space="preserve"> remained the same while</w:t>
      </w:r>
      <w:r>
        <w:rPr>
          <w:rFonts w:ascii="Times New Roman" w:hAnsi="Times New Roman" w:cs="Times New Roman"/>
          <w:sz w:val="24"/>
          <w:szCs w:val="24"/>
        </w:rPr>
        <w:t xml:space="preserve"> U of A</w:t>
      </w:r>
      <w:r w:rsidR="008F06E8">
        <w:rPr>
          <w:rFonts w:ascii="Times New Roman" w:hAnsi="Times New Roman" w:cs="Times New Roman"/>
          <w:sz w:val="24"/>
          <w:szCs w:val="24"/>
        </w:rPr>
        <w:t>, HSU,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0E1">
        <w:rPr>
          <w:rFonts w:ascii="Times New Roman" w:hAnsi="Times New Roman" w:cs="Times New Roman"/>
          <w:sz w:val="24"/>
          <w:szCs w:val="24"/>
        </w:rPr>
        <w:t xml:space="preserve">and UALR </w:t>
      </w:r>
      <w:r w:rsidR="00EF5029">
        <w:rPr>
          <w:rFonts w:ascii="Times New Roman" w:hAnsi="Times New Roman" w:cs="Times New Roman"/>
          <w:sz w:val="24"/>
          <w:szCs w:val="24"/>
        </w:rPr>
        <w:t>showed a decrease in the number of students that received federal grants.</w:t>
      </w:r>
    </w:p>
    <w:p w:rsidR="00EF5029" w:rsidRPr="00EF5029" w:rsidRDefault="008F06E8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ASU, HSU, SAU and UALR</w:t>
      </w:r>
      <w:r w:rsidR="00EF5029">
        <w:rPr>
          <w:rFonts w:ascii="Times New Roman" w:hAnsi="Times New Roman" w:cs="Times New Roman"/>
          <w:sz w:val="24"/>
          <w:szCs w:val="24"/>
        </w:rPr>
        <w:t xml:space="preserve"> showed a decrease in the number of underrepresent</w:t>
      </w:r>
      <w:r w:rsidR="00D87B8E">
        <w:rPr>
          <w:rFonts w:ascii="Times New Roman" w:hAnsi="Times New Roman" w:cs="Times New Roman"/>
          <w:sz w:val="24"/>
          <w:szCs w:val="24"/>
        </w:rPr>
        <w:t>ed</w:t>
      </w:r>
      <w:r w:rsidR="00EF5029">
        <w:rPr>
          <w:rFonts w:ascii="Times New Roman" w:hAnsi="Times New Roman" w:cs="Times New Roman"/>
          <w:sz w:val="24"/>
          <w:szCs w:val="24"/>
        </w:rPr>
        <w:t xml:space="preserve"> minorities</w:t>
      </w:r>
      <w:r w:rsidR="00E5223E">
        <w:rPr>
          <w:rFonts w:ascii="Times New Roman" w:hAnsi="Times New Roman" w:cs="Times New Roman"/>
          <w:sz w:val="24"/>
          <w:szCs w:val="24"/>
        </w:rPr>
        <w:t>.</w:t>
      </w:r>
    </w:p>
    <w:p w:rsidR="005726B4" w:rsidRDefault="005726B4" w:rsidP="005726B4">
      <w:pPr>
        <w:rPr>
          <w:rFonts w:ascii="Times New Roman" w:hAnsi="Times New Roman" w:cs="Times New Roman"/>
          <w:sz w:val="28"/>
          <w:szCs w:val="28"/>
        </w:rPr>
      </w:pPr>
    </w:p>
    <w:p w:rsidR="005726B4" w:rsidRDefault="005726B4" w:rsidP="005726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20" w:type="dxa"/>
        <w:jc w:val="center"/>
        <w:tblInd w:w="93" w:type="dxa"/>
        <w:tblLook w:val="04A0" w:firstRow="1" w:lastRow="0" w:firstColumn="1" w:lastColumn="0" w:noHBand="0" w:noVBand="1"/>
      </w:tblPr>
      <w:tblGrid>
        <w:gridCol w:w="1000"/>
        <w:gridCol w:w="799"/>
        <w:gridCol w:w="800"/>
        <w:gridCol w:w="800"/>
        <w:gridCol w:w="800"/>
        <w:gridCol w:w="820"/>
        <w:gridCol w:w="820"/>
        <w:gridCol w:w="960"/>
        <w:gridCol w:w="960"/>
        <w:gridCol w:w="960"/>
        <w:gridCol w:w="960"/>
        <w:gridCol w:w="924"/>
        <w:gridCol w:w="924"/>
        <w:gridCol w:w="924"/>
        <w:gridCol w:w="1069"/>
      </w:tblGrid>
      <w:tr w:rsidR="005726B4" w:rsidRPr="005726B4" w:rsidTr="005726B4">
        <w:trPr>
          <w:trHeight w:val="315"/>
          <w:jc w:val="center"/>
        </w:trPr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Avg. GPA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Avg. Admission Scores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 Year Retention</w:t>
            </w:r>
          </w:p>
        </w:tc>
        <w:tc>
          <w:tcPr>
            <w:tcW w:w="384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Undergrad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Fall-to-Spring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Fall-to-Fall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993" w:type="dxa"/>
            <w:gridSpan w:val="2"/>
            <w:tcBorders>
              <w:top w:val="nil"/>
              <w:left w:val="double" w:sz="6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</w:tr>
      <w:tr w:rsidR="00FE683B" w:rsidRPr="005726B4" w:rsidTr="00FE683B">
        <w:trPr>
          <w:trHeight w:val="330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E683B" w:rsidRPr="005726B4" w:rsidRDefault="00FE683B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FE683B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FE683B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FE683B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E683B" w:rsidRPr="005726B4" w:rsidRDefault="00FE683B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FE683B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FE683B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FE683B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FE683B" w:rsidRPr="005726B4" w:rsidTr="00FE683B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83B" w:rsidRPr="005726B4" w:rsidRDefault="00FE68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</w:tr>
      <w:tr w:rsidR="00FE683B" w:rsidRPr="005726B4" w:rsidTr="00FE683B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83B" w:rsidRPr="005726B4" w:rsidRDefault="00FE68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FE683B" w:rsidRPr="005726B4" w:rsidTr="00FE683B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E683B" w:rsidRPr="005726B4" w:rsidRDefault="00FE68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FE683B" w:rsidRPr="005726B4" w:rsidRDefault="00FE68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FE683B" w:rsidRPr="005726B4" w:rsidRDefault="00FE68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93%</w:t>
            </w:r>
          </w:p>
        </w:tc>
      </w:tr>
      <w:tr w:rsidR="00FE683B" w:rsidRPr="005726B4" w:rsidTr="00FE683B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83B" w:rsidRPr="005726B4" w:rsidRDefault="00FE68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6212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83%</w:t>
            </w:r>
          </w:p>
        </w:tc>
      </w:tr>
      <w:tr w:rsidR="00FE683B" w:rsidRPr="005726B4" w:rsidTr="00FE683B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683B" w:rsidRPr="005726B4" w:rsidRDefault="00FE68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486AD8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83B" w:rsidRPr="00FE683B" w:rsidRDefault="00FE683B" w:rsidP="00A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3B">
              <w:rPr>
                <w:rFonts w:ascii="Times New Roman" w:eastAsia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E683B" w:rsidRPr="005726B4" w:rsidRDefault="00846212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</w:tr>
    </w:tbl>
    <w:p w:rsidR="005726B4" w:rsidRDefault="00846212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</w:t>
      </w:r>
      <w:r w:rsidR="006640E1">
        <w:rPr>
          <w:rFonts w:ascii="Times New Roman" w:hAnsi="Times New Roman" w:cs="Times New Roman"/>
          <w:sz w:val="24"/>
          <w:szCs w:val="24"/>
        </w:rPr>
        <w:t xml:space="preserve"> and UALR </w:t>
      </w:r>
      <w:r w:rsidR="00E5223E">
        <w:rPr>
          <w:rFonts w:ascii="Times New Roman" w:hAnsi="Times New Roman" w:cs="Times New Roman"/>
          <w:sz w:val="24"/>
          <w:szCs w:val="24"/>
        </w:rPr>
        <w:t>showed a decrease in the number of students with a GPA of less than 2.00.</w:t>
      </w:r>
    </w:p>
    <w:p w:rsidR="00E5223E" w:rsidRDefault="006640E1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HSU and </w:t>
      </w:r>
      <w:r w:rsidR="00846212">
        <w:rPr>
          <w:rFonts w:ascii="Times New Roman" w:hAnsi="Times New Roman" w:cs="Times New Roman"/>
          <w:sz w:val="24"/>
          <w:szCs w:val="24"/>
        </w:rPr>
        <w:t>ASU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23E">
        <w:rPr>
          <w:rFonts w:ascii="Times New Roman" w:hAnsi="Times New Roman" w:cs="Times New Roman"/>
          <w:sz w:val="24"/>
          <w:szCs w:val="24"/>
        </w:rPr>
        <w:t xml:space="preserve">showed 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E5223E">
        <w:rPr>
          <w:rFonts w:ascii="Times New Roman" w:hAnsi="Times New Roman" w:cs="Times New Roman"/>
          <w:sz w:val="24"/>
          <w:szCs w:val="24"/>
        </w:rPr>
        <w:t>crease in the first-term average GPA.</w:t>
      </w:r>
    </w:p>
    <w:p w:rsidR="00BB597A" w:rsidRDefault="00E5223E" w:rsidP="005726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 </w:t>
      </w:r>
      <w:r w:rsidR="00846212">
        <w:rPr>
          <w:rFonts w:ascii="Times New Roman" w:hAnsi="Times New Roman" w:cs="Times New Roman"/>
          <w:sz w:val="24"/>
          <w:szCs w:val="24"/>
        </w:rPr>
        <w:t>showed an increase</w:t>
      </w:r>
      <w:r>
        <w:rPr>
          <w:rFonts w:ascii="Times New Roman" w:hAnsi="Times New Roman" w:cs="Times New Roman"/>
          <w:sz w:val="24"/>
          <w:szCs w:val="24"/>
        </w:rPr>
        <w:t xml:space="preserve"> for fall-to-spring retention </w:t>
      </w:r>
      <w:r w:rsidR="006640E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for fall-to-fall retention.</w:t>
      </w:r>
    </w:p>
    <w:p w:rsidR="00E5223E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 </w:t>
      </w:r>
      <w:r w:rsidR="003B006C">
        <w:rPr>
          <w:rFonts w:ascii="Times New Roman" w:hAnsi="Times New Roman" w:cs="Times New Roman"/>
          <w:sz w:val="24"/>
          <w:szCs w:val="24"/>
        </w:rPr>
        <w:t>showed a decrease</w:t>
      </w:r>
      <w:r w:rsidR="006640E1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the number of degree-seeking students.</w:t>
      </w:r>
    </w:p>
    <w:p w:rsidR="00E5223E" w:rsidRDefault="00E5223E" w:rsidP="00E522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223E" w:rsidRDefault="00E5223E" w:rsidP="00E522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223E" w:rsidRPr="00E5223E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 for the university.</w:t>
      </w:r>
    </w:p>
    <w:p w:rsidR="00A34F02" w:rsidRDefault="00A34F02" w:rsidP="00A34F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0DFD8C" wp14:editId="6B387300">
            <wp:extent cx="6535972" cy="3204375"/>
            <wp:effectExtent l="0" t="0" r="1778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4F02" w:rsidRDefault="00A34F02" w:rsidP="00A34F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F02" w:rsidRDefault="00A34F02" w:rsidP="00A34F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5A0823" wp14:editId="5005006D">
            <wp:extent cx="5096786" cy="2743200"/>
            <wp:effectExtent l="0" t="0" r="2794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597A" w:rsidRDefault="00BB597A" w:rsidP="00A34F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97A" w:rsidRDefault="00A538BB" w:rsidP="00A538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56693C" wp14:editId="699E136C">
            <wp:extent cx="4230094" cy="2743200"/>
            <wp:effectExtent l="0" t="0" r="18415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5CD7B8" wp14:editId="5FE028DE">
            <wp:extent cx="4405023" cy="2743200"/>
            <wp:effectExtent l="0" t="0" r="14605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2660" w:rsidRPr="005726B4" w:rsidRDefault="00A538BB" w:rsidP="005926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14F9B4" wp14:editId="1461EC32">
            <wp:extent cx="4977517" cy="2743200"/>
            <wp:effectExtent l="0" t="0" r="1397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592660" w:rsidRPr="005726B4" w:rsidSect="005726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20B5"/>
    <w:multiLevelType w:val="hybridMultilevel"/>
    <w:tmpl w:val="E7C882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301AF"/>
    <w:multiLevelType w:val="hybridMultilevel"/>
    <w:tmpl w:val="96D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51E95"/>
    <w:multiLevelType w:val="hybridMultilevel"/>
    <w:tmpl w:val="9BBE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2C5E"/>
    <w:multiLevelType w:val="hybridMultilevel"/>
    <w:tmpl w:val="9B96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42523"/>
    <w:multiLevelType w:val="hybridMultilevel"/>
    <w:tmpl w:val="D24A0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B1796"/>
    <w:multiLevelType w:val="hybridMultilevel"/>
    <w:tmpl w:val="45D44646"/>
    <w:lvl w:ilvl="0" w:tplc="3A645B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53F26"/>
    <w:multiLevelType w:val="hybridMultilevel"/>
    <w:tmpl w:val="BA5A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03349"/>
    <w:multiLevelType w:val="hybridMultilevel"/>
    <w:tmpl w:val="76A04D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F672D0"/>
    <w:multiLevelType w:val="hybridMultilevel"/>
    <w:tmpl w:val="B60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77803"/>
    <w:multiLevelType w:val="hybridMultilevel"/>
    <w:tmpl w:val="A2FA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F34B2"/>
    <w:multiLevelType w:val="hybridMultilevel"/>
    <w:tmpl w:val="9A66D1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8096B"/>
    <w:multiLevelType w:val="hybridMultilevel"/>
    <w:tmpl w:val="14A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47"/>
    <w:rsid w:val="00007A8E"/>
    <w:rsid w:val="00024BAB"/>
    <w:rsid w:val="00157E17"/>
    <w:rsid w:val="001D56D6"/>
    <w:rsid w:val="001E31AD"/>
    <w:rsid w:val="00271D1A"/>
    <w:rsid w:val="002906C8"/>
    <w:rsid w:val="002A444F"/>
    <w:rsid w:val="002D2F4B"/>
    <w:rsid w:val="003174D8"/>
    <w:rsid w:val="003565AE"/>
    <w:rsid w:val="003B006C"/>
    <w:rsid w:val="003E645D"/>
    <w:rsid w:val="00414F52"/>
    <w:rsid w:val="00480982"/>
    <w:rsid w:val="00486119"/>
    <w:rsid w:val="00486AD8"/>
    <w:rsid w:val="004A7722"/>
    <w:rsid w:val="005726B4"/>
    <w:rsid w:val="00592660"/>
    <w:rsid w:val="005C4571"/>
    <w:rsid w:val="005F4629"/>
    <w:rsid w:val="00655E33"/>
    <w:rsid w:val="006640E1"/>
    <w:rsid w:val="00704AB4"/>
    <w:rsid w:val="00762886"/>
    <w:rsid w:val="007F593C"/>
    <w:rsid w:val="00846212"/>
    <w:rsid w:val="008A4D5D"/>
    <w:rsid w:val="008A76C5"/>
    <w:rsid w:val="008F06E8"/>
    <w:rsid w:val="00913349"/>
    <w:rsid w:val="00974C19"/>
    <w:rsid w:val="009805E3"/>
    <w:rsid w:val="009E3C87"/>
    <w:rsid w:val="009F097F"/>
    <w:rsid w:val="00A34F02"/>
    <w:rsid w:val="00A42405"/>
    <w:rsid w:val="00A424AD"/>
    <w:rsid w:val="00A44350"/>
    <w:rsid w:val="00A538BB"/>
    <w:rsid w:val="00A77A47"/>
    <w:rsid w:val="00B66F5B"/>
    <w:rsid w:val="00B73A2B"/>
    <w:rsid w:val="00B83CF4"/>
    <w:rsid w:val="00BA420E"/>
    <w:rsid w:val="00BB597A"/>
    <w:rsid w:val="00CC02BD"/>
    <w:rsid w:val="00CD1502"/>
    <w:rsid w:val="00D1753B"/>
    <w:rsid w:val="00D87B8E"/>
    <w:rsid w:val="00E13E73"/>
    <w:rsid w:val="00E5223E"/>
    <w:rsid w:val="00E76128"/>
    <w:rsid w:val="00EF5029"/>
    <w:rsid w:val="00F42685"/>
    <w:rsid w:val="00FA6CDE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6B4"/>
    <w:pPr>
      <w:ind w:left="720"/>
      <w:contextualSpacing/>
    </w:pPr>
  </w:style>
  <w:style w:type="table" w:styleId="TableGrid">
    <w:name w:val="Table Grid"/>
    <w:basedOn w:val="TableNormal"/>
    <w:uiPriority w:val="59"/>
    <w:rsid w:val="008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46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6B4"/>
    <w:pPr>
      <w:ind w:left="720"/>
      <w:contextualSpacing/>
    </w:pPr>
  </w:style>
  <w:style w:type="table" w:styleId="TableGrid">
    <w:name w:val="Table Grid"/>
    <w:basedOn w:val="TableNormal"/>
    <w:uiPriority w:val="59"/>
    <w:rsid w:val="008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4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Cohort Head Count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Sheet1!$Z$53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Sheet1!$AA$53:$AE$53</c:f>
              <c:numCache>
                <c:formatCode>General</c:formatCode>
                <c:ptCount val="5"/>
                <c:pt idx="0">
                  <c:v>2891</c:v>
                </c:pt>
                <c:pt idx="1">
                  <c:v>1650</c:v>
                </c:pt>
                <c:pt idx="2">
                  <c:v>666</c:v>
                </c:pt>
                <c:pt idx="3">
                  <c:v>627</c:v>
                </c:pt>
                <c:pt idx="4">
                  <c:v>616</c:v>
                </c:pt>
              </c:numCache>
            </c:numRef>
          </c:val>
        </c:ser>
        <c:ser>
          <c:idx val="1"/>
          <c:order val="1"/>
          <c:tx>
            <c:strRef>
              <c:f>Sheet1!$Z$54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Sheet1!$AA$54:$AE$54</c:f>
              <c:numCache>
                <c:formatCode>General</c:formatCode>
                <c:ptCount val="5"/>
                <c:pt idx="0">
                  <c:v>3780</c:v>
                </c:pt>
                <c:pt idx="1">
                  <c:v>1665</c:v>
                </c:pt>
                <c:pt idx="2">
                  <c:v>767</c:v>
                </c:pt>
                <c:pt idx="3">
                  <c:v>799</c:v>
                </c:pt>
                <c:pt idx="4">
                  <c:v>643</c:v>
                </c:pt>
              </c:numCache>
            </c:numRef>
          </c:val>
        </c:ser>
        <c:ser>
          <c:idx val="2"/>
          <c:order val="2"/>
          <c:tx>
            <c:strRef>
              <c:f>Sheet1!$Z$55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Sheet1!$AA$55:$AE$55</c:f>
              <c:numCache>
                <c:formatCode>General</c:formatCode>
                <c:ptCount val="5"/>
                <c:pt idx="0">
                  <c:v>4414</c:v>
                </c:pt>
                <c:pt idx="1">
                  <c:v>1505</c:v>
                </c:pt>
                <c:pt idx="2">
                  <c:v>867</c:v>
                </c:pt>
                <c:pt idx="3">
                  <c:v>818</c:v>
                </c:pt>
                <c:pt idx="4">
                  <c:v>642</c:v>
                </c:pt>
              </c:numCache>
            </c:numRef>
          </c:val>
        </c:ser>
        <c:ser>
          <c:idx val="3"/>
          <c:order val="3"/>
          <c:tx>
            <c:strRef>
              <c:f>Sheet1!$Z$56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Sheet1!$AA$56:$AE$56</c:f>
              <c:numCache>
                <c:formatCode>General</c:formatCode>
                <c:ptCount val="5"/>
                <c:pt idx="0">
                  <c:v>4550</c:v>
                </c:pt>
                <c:pt idx="1">
                  <c:v>1633</c:v>
                </c:pt>
                <c:pt idx="2">
                  <c:v>805</c:v>
                </c:pt>
                <c:pt idx="3">
                  <c:v>771</c:v>
                </c:pt>
                <c:pt idx="4">
                  <c:v>586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688320"/>
        <c:axId val="110777472"/>
      </c:barChart>
      <c:catAx>
        <c:axId val="91688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10777472"/>
        <c:crosses val="autoZero"/>
        <c:auto val="1"/>
        <c:lblAlgn val="ctr"/>
        <c:lblOffset val="100"/>
        <c:noMultiLvlLbl val="0"/>
      </c:catAx>
      <c:valAx>
        <c:axId val="11077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16883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2007 &amp; 2012</a:t>
            </a:r>
          </a:p>
          <a:p>
            <a:pPr>
              <a:defRPr/>
            </a:pPr>
            <a:r>
              <a:rPr lang="en-US" sz="1600"/>
              <a:t>Federal Grant Recipient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Sheet1!$AG$31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chemeClr val="tx2"/>
            </a:solidFill>
            <a:ln>
              <a:solidFill>
                <a:srgbClr val="0070C0"/>
              </a:solidFill>
            </a:ln>
          </c:spPr>
          <c:invertIfNegative val="0"/>
          <c:cat>
            <c:strRef>
              <c:f>Sheet1!$AH$30:$AL$30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Sheet1!$AH$31:$AL$31</c:f>
              <c:numCache>
                <c:formatCode>0%</c:formatCode>
                <c:ptCount val="5"/>
                <c:pt idx="0">
                  <c:v>0.17</c:v>
                </c:pt>
                <c:pt idx="1">
                  <c:v>0.47</c:v>
                </c:pt>
                <c:pt idx="2">
                  <c:v>0.47</c:v>
                </c:pt>
                <c:pt idx="3">
                  <c:v>0.13</c:v>
                </c:pt>
                <c:pt idx="4">
                  <c:v>0.47</c:v>
                </c:pt>
              </c:numCache>
            </c:numRef>
          </c:val>
        </c:ser>
        <c:ser>
          <c:idx val="1"/>
          <c:order val="1"/>
          <c:tx>
            <c:strRef>
              <c:f>Sheet1!$AG$32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Sheet1!$AH$30:$AL$30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Sheet1!$AH$32:$AL$32</c:f>
              <c:numCache>
                <c:formatCode>0%</c:formatCode>
                <c:ptCount val="5"/>
                <c:pt idx="0">
                  <c:v>0.22</c:v>
                </c:pt>
                <c:pt idx="1">
                  <c:v>0.48</c:v>
                </c:pt>
                <c:pt idx="2">
                  <c:v>0.53</c:v>
                </c:pt>
                <c:pt idx="3">
                  <c:v>0.6</c:v>
                </c:pt>
                <c:pt idx="4">
                  <c:v>0.57999999999999996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914304"/>
        <c:axId val="36915840"/>
      </c:barChart>
      <c:catAx>
        <c:axId val="36914304"/>
        <c:scaling>
          <c:orientation val="minMax"/>
        </c:scaling>
        <c:delete val="0"/>
        <c:axPos val="b"/>
        <c:majorTickMark val="out"/>
        <c:minorTickMark val="none"/>
        <c:tickLblPos val="nextTo"/>
        <c:crossAx val="36915840"/>
        <c:crosses val="autoZero"/>
        <c:auto val="1"/>
        <c:lblAlgn val="ctr"/>
        <c:lblOffset val="100"/>
        <c:noMultiLvlLbl val="0"/>
      </c:catAx>
      <c:valAx>
        <c:axId val="369158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91430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2007 &amp; 2012</a:t>
            </a:r>
          </a:p>
          <a:p>
            <a:pPr>
              <a:defRPr/>
            </a:pPr>
            <a:r>
              <a:rPr lang="en-US" sz="1600"/>
              <a:t>Average ACT Score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Sheet1!$AN$31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Sheet1!$AO$30:$AS$30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Sheet1!$AO$31:$AS$31</c:f>
              <c:numCache>
                <c:formatCode>0.0</c:formatCode>
                <c:ptCount val="5"/>
                <c:pt idx="0">
                  <c:v>25.3</c:v>
                </c:pt>
                <c:pt idx="1">
                  <c:v>21.4</c:v>
                </c:pt>
                <c:pt idx="2">
                  <c:v>20.5</c:v>
                </c:pt>
                <c:pt idx="3">
                  <c:v>21.9</c:v>
                </c:pt>
                <c:pt idx="4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Sheet1!$AN$32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Sheet1!$AO$30:$AS$30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Sheet1!$AO$32:$AS$32</c:f>
              <c:numCache>
                <c:formatCode>General</c:formatCode>
                <c:ptCount val="5"/>
                <c:pt idx="0">
                  <c:v>25.8</c:v>
                </c:pt>
                <c:pt idx="1">
                  <c:v>22.9</c:v>
                </c:pt>
                <c:pt idx="2" formatCode="0.0">
                  <c:v>22</c:v>
                </c:pt>
                <c:pt idx="3">
                  <c:v>21.4</c:v>
                </c:pt>
                <c:pt idx="4">
                  <c:v>21.3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813440"/>
        <c:axId val="73417088"/>
      </c:barChart>
      <c:catAx>
        <c:axId val="36813440"/>
        <c:scaling>
          <c:orientation val="minMax"/>
        </c:scaling>
        <c:delete val="0"/>
        <c:axPos val="b"/>
        <c:majorTickMark val="out"/>
        <c:minorTickMark val="none"/>
        <c:tickLblPos val="nextTo"/>
        <c:crossAx val="73417088"/>
        <c:crosses val="autoZero"/>
        <c:auto val="1"/>
        <c:lblAlgn val="ctr"/>
        <c:lblOffset val="100"/>
        <c:noMultiLvlLbl val="0"/>
      </c:catAx>
      <c:valAx>
        <c:axId val="7341708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368134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2007 &amp; 2012</a:t>
            </a:r>
          </a:p>
          <a:p>
            <a:pPr>
              <a:defRPr/>
            </a:pPr>
            <a:r>
              <a:rPr lang="en-US" sz="1600"/>
              <a:t>First-Year</a:t>
            </a:r>
            <a:r>
              <a:rPr lang="en-US" sz="1600" baseline="0"/>
              <a:t> Retention Comparison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Sheet1!$AG$58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Sheet1!$AH$57:$AL$57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Sheet1!$AH$58:$AL$58</c:f>
              <c:numCache>
                <c:formatCode>0%</c:formatCode>
                <c:ptCount val="5"/>
                <c:pt idx="0">
                  <c:v>0.80700000000000005</c:v>
                </c:pt>
                <c:pt idx="1">
                  <c:v>0.68300000000000005</c:v>
                </c:pt>
                <c:pt idx="2">
                  <c:v>0.622</c:v>
                </c:pt>
                <c:pt idx="3">
                  <c:v>0.55400000000000005</c:v>
                </c:pt>
                <c:pt idx="4">
                  <c:v>0.56399999999999995</c:v>
                </c:pt>
              </c:numCache>
            </c:numRef>
          </c:val>
        </c:ser>
        <c:ser>
          <c:idx val="1"/>
          <c:order val="1"/>
          <c:tx>
            <c:strRef>
              <c:f>Sheet1!$AG$59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Sheet1!$AH$57:$AL$57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Sheet1!$AH$59:$AL$59</c:f>
              <c:numCache>
                <c:formatCode>0%</c:formatCode>
                <c:ptCount val="5"/>
                <c:pt idx="0">
                  <c:v>0.82099999999999995</c:v>
                </c:pt>
                <c:pt idx="1">
                  <c:v>0.73099999999999998</c:v>
                </c:pt>
                <c:pt idx="2">
                  <c:v>0.69699999999999995</c:v>
                </c:pt>
                <c:pt idx="3">
                  <c:v>0.57499999999999996</c:v>
                </c:pt>
                <c:pt idx="4">
                  <c:v>0.64300000000000002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0467456"/>
        <c:axId val="128739584"/>
      </c:barChart>
      <c:catAx>
        <c:axId val="40467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28739584"/>
        <c:crosses val="autoZero"/>
        <c:auto val="1"/>
        <c:lblAlgn val="ctr"/>
        <c:lblOffset val="100"/>
        <c:noMultiLvlLbl val="0"/>
      </c:catAx>
      <c:valAx>
        <c:axId val="128739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04674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2006 &amp; 2007 Cohort</a:t>
            </a:r>
          </a:p>
          <a:p>
            <a:pPr>
              <a:defRPr/>
            </a:pPr>
            <a:r>
              <a:rPr lang="en-US" sz="1600"/>
              <a:t>6-Year Graduation Rate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Sheet1!$AU$27</c:f>
              <c:strCache>
                <c:ptCount val="1"/>
                <c:pt idx="0">
                  <c:v>2006-2012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Sheet1!$AV$26:$AZ$26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Sheet1!$AV$27:$AZ$27</c:f>
              <c:numCache>
                <c:formatCode>0%</c:formatCode>
                <c:ptCount val="5"/>
                <c:pt idx="0">
                  <c:v>0.6</c:v>
                </c:pt>
                <c:pt idx="1">
                  <c:v>0.42</c:v>
                </c:pt>
                <c:pt idx="2">
                  <c:v>0.19</c:v>
                </c:pt>
                <c:pt idx="3">
                  <c:v>0.35</c:v>
                </c:pt>
                <c:pt idx="4">
                  <c:v>0.32800000000000001</c:v>
                </c:pt>
              </c:numCache>
            </c:numRef>
          </c:val>
        </c:ser>
        <c:ser>
          <c:idx val="1"/>
          <c:order val="1"/>
          <c:tx>
            <c:strRef>
              <c:f>Sheet1!$AU$28</c:f>
              <c:strCache>
                <c:ptCount val="1"/>
                <c:pt idx="0">
                  <c:v>2007-2013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Sheet1!$AV$26:$AZ$26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Sheet1!$AV$28:$AZ$28</c:f>
              <c:numCache>
                <c:formatCode>0%</c:formatCode>
                <c:ptCount val="5"/>
                <c:pt idx="0">
                  <c:v>0.6</c:v>
                </c:pt>
                <c:pt idx="1">
                  <c:v>0.39</c:v>
                </c:pt>
                <c:pt idx="2">
                  <c:v>0.21</c:v>
                </c:pt>
                <c:pt idx="3">
                  <c:v>0.28999999999999998</c:v>
                </c:pt>
                <c:pt idx="4">
                  <c:v>0.28000000000000003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847424"/>
        <c:axId val="37859328"/>
      </c:barChart>
      <c:catAx>
        <c:axId val="37847424"/>
        <c:scaling>
          <c:orientation val="minMax"/>
        </c:scaling>
        <c:delete val="0"/>
        <c:axPos val="b"/>
        <c:majorTickMark val="out"/>
        <c:minorTickMark val="none"/>
        <c:tickLblPos val="nextTo"/>
        <c:crossAx val="37859328"/>
        <c:crosses val="autoZero"/>
        <c:auto val="1"/>
        <c:lblAlgn val="ctr"/>
        <c:lblOffset val="100"/>
        <c:noMultiLvlLbl val="0"/>
      </c:catAx>
      <c:valAx>
        <c:axId val="378593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78474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10BA-1C99-433D-9ED8-5E03097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Plummer</dc:creator>
  <cp:lastModifiedBy>Amy Plummer</cp:lastModifiedBy>
  <cp:revision>15</cp:revision>
  <cp:lastPrinted>2014-07-10T14:52:00Z</cp:lastPrinted>
  <dcterms:created xsi:type="dcterms:W3CDTF">2014-07-08T15:24:00Z</dcterms:created>
  <dcterms:modified xsi:type="dcterms:W3CDTF">2014-07-10T15:18:00Z</dcterms:modified>
</cp:coreProperties>
</file>