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CC02B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CC02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CSRDE Retention Report Analysis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 Comparison of Four-Year Arkansas Institutions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Participating Institutions: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Arkansas State University (Master’s I)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Henderson State University (Master’s I)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Southern Arkansas University (Master’s I)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Little Rock (Doctoral/Research Intensive)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Main Campus (Doctoral/Research Extensive)</w:t>
      </w: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77A47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First-year Retention Rates and Cohort Characteristics</w:t>
      </w:r>
    </w:p>
    <w:p w:rsidR="00A77A47" w:rsidRPr="00351001" w:rsidRDefault="00A77A47" w:rsidP="00A77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CC02BD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 First-time Freshman Cohorts</w:t>
      </w:r>
    </w:p>
    <w:tbl>
      <w:tblPr>
        <w:tblW w:w="13620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883"/>
        <w:gridCol w:w="1293"/>
        <w:gridCol w:w="1408"/>
        <w:gridCol w:w="1168"/>
        <w:gridCol w:w="1351"/>
        <w:gridCol w:w="1128"/>
        <w:gridCol w:w="972"/>
        <w:gridCol w:w="972"/>
        <w:gridCol w:w="1307"/>
        <w:gridCol w:w="1090"/>
        <w:gridCol w:w="1150"/>
      </w:tblGrid>
      <w:tr w:rsidR="003174D8" w:rsidRPr="003174D8" w:rsidTr="003174D8">
        <w:trPr>
          <w:trHeight w:val="315"/>
          <w:jc w:val="center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First-time Freshman Cohort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1st-term </w:t>
            </w: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Avg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GPA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1st-year Retention Rate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Underrep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Minorities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Years or Older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Rank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26-50%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024BAB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9E3C87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9E3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E3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77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4,414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14%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CC02BD" w:rsidP="00C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2.90</w:t>
            </w:r>
          </w:p>
        </w:tc>
        <w:tc>
          <w:tcPr>
            <w:tcW w:w="104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CC0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C0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486119" w:rsidRDefault="00486119"/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First-year Retention Rates and Institutional Characteristics</w:t>
      </w:r>
    </w:p>
    <w:p w:rsidR="003174D8" w:rsidRPr="00E15480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024BA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First-time Freshman Cohorts</w:t>
      </w:r>
    </w:p>
    <w:tbl>
      <w:tblPr>
        <w:tblW w:w="11953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1536"/>
        <w:gridCol w:w="1580"/>
        <w:gridCol w:w="1280"/>
        <w:gridCol w:w="800"/>
        <w:gridCol w:w="1020"/>
        <w:gridCol w:w="2240"/>
        <w:gridCol w:w="1200"/>
        <w:gridCol w:w="1000"/>
      </w:tblGrid>
      <w:tr w:rsidR="003174D8" w:rsidRPr="003174D8" w:rsidTr="003174D8">
        <w:trPr>
          <w:trHeight w:val="330"/>
          <w:jc w:val="center"/>
        </w:trPr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 Carnegie Classification Data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 Undergrad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Avg. Admission Scores - All Freshmen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1st-yr </w:t>
            </w: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Reten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Rates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Basic Classification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 of Urbanization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Size &amp; Setting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Degree-seeking</w:t>
            </w:r>
          </w:p>
        </w:tc>
        <w:tc>
          <w:tcPr>
            <w:tcW w:w="224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Spring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Fall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L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Small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M4/NR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Town Distant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.8%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Master's M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Town Remote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S4/R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Midsize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M4/NR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RU/VH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City Small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L4/R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024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174D8" w:rsidRDefault="00913349" w:rsidP="003174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201</w:t>
      </w:r>
      <w:r w:rsidR="002906C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2906C8">
        <w:rPr>
          <w:rFonts w:ascii="Times New Roman" w:hAnsi="Times New Roman" w:cs="Times New Roman"/>
          <w:b/>
          <w:sz w:val="28"/>
          <w:szCs w:val="28"/>
        </w:rPr>
        <w:t>3</w:t>
      </w:r>
      <w:r w:rsidR="003174D8">
        <w:rPr>
          <w:rFonts w:ascii="Times New Roman" w:hAnsi="Times New Roman" w:cs="Times New Roman"/>
          <w:b/>
          <w:sz w:val="28"/>
          <w:szCs w:val="28"/>
        </w:rPr>
        <w:t xml:space="preserve"> CSRDE Retention Report Analysis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Comparison of Four-Year Arkansas Institutions</w:t>
      </w:r>
    </w:p>
    <w:p w:rsidR="003174D8" w:rsidRDefault="003174D8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Participating Institutions: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Arkansas State University (Master’s I)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Henderson State University (Master’s I)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Southern Arkansas University (Master’s I)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Little Rock (Doctoral/Research Intensive)</w:t>
      </w: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University of Arkansas – Main Campus (Doctoral/Research Extensive)</w:t>
      </w:r>
    </w:p>
    <w:p w:rsidR="003174D8" w:rsidRDefault="003174D8" w:rsidP="002A4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4D8" w:rsidRDefault="003174D8" w:rsidP="003174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Rates, Graduation Rates, and Cohort Characteristics</w:t>
      </w:r>
    </w:p>
    <w:p w:rsidR="003174D8" w:rsidRDefault="003174D8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</w:t>
      </w:r>
      <w:r w:rsidR="002906C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First-time Freshman Cohorts</w:t>
      </w:r>
    </w:p>
    <w:tbl>
      <w:tblPr>
        <w:tblW w:w="14640" w:type="dxa"/>
        <w:jc w:val="center"/>
        <w:tblInd w:w="93" w:type="dxa"/>
        <w:tblLook w:val="04A0" w:firstRow="1" w:lastRow="0" w:firstColumn="1" w:lastColumn="0" w:noHBand="0" w:noVBand="1"/>
      </w:tblPr>
      <w:tblGrid>
        <w:gridCol w:w="1297"/>
        <w:gridCol w:w="960"/>
        <w:gridCol w:w="1140"/>
        <w:gridCol w:w="1220"/>
        <w:gridCol w:w="1160"/>
        <w:gridCol w:w="1240"/>
        <w:gridCol w:w="800"/>
        <w:gridCol w:w="800"/>
        <w:gridCol w:w="800"/>
        <w:gridCol w:w="1180"/>
        <w:gridCol w:w="1120"/>
        <w:gridCol w:w="920"/>
        <w:gridCol w:w="920"/>
        <w:gridCol w:w="1296"/>
      </w:tblGrid>
      <w:tr w:rsidR="003174D8" w:rsidRPr="003174D8" w:rsidTr="003174D8">
        <w:trPr>
          <w:trHeight w:val="315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Institutions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83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Percentage of First-time Freshman Cohort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1st-term </w:t>
            </w: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Avg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GPA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1st-yr Retention Rate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6-year Graduation Rate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Underrep</w:t>
            </w:r>
            <w:proofErr w:type="spellEnd"/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Minorities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Years or Older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High School Rank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26-50%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Spring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 to Fall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3174D8" w:rsidRPr="003174D8" w:rsidRDefault="003174D8" w:rsidP="00317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68.6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60.6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34.8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77.9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61.6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00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83.0%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59.7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174D8" w:rsidRPr="003174D8" w:rsidTr="003174D8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317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92.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3174D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90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3174D8" w:rsidRPr="003174D8" w:rsidRDefault="002906C8" w:rsidP="00290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3174D8" w:rsidRPr="00317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3174D8" w:rsidRDefault="003174D8" w:rsidP="002A444F"/>
    <w:p w:rsidR="002A444F" w:rsidRDefault="002A444F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Rates, Graduation Rates, and Institutional Characteristics</w:t>
      </w:r>
    </w:p>
    <w:p w:rsidR="003174D8" w:rsidRDefault="00D87B8E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</w:t>
      </w:r>
      <w:r w:rsidR="002906C8">
        <w:rPr>
          <w:rFonts w:ascii="Times New Roman" w:hAnsi="Times New Roman" w:cs="Times New Roman"/>
          <w:b/>
          <w:sz w:val="24"/>
          <w:szCs w:val="24"/>
        </w:rPr>
        <w:t>6</w:t>
      </w:r>
      <w:r w:rsidR="002A444F">
        <w:rPr>
          <w:rFonts w:ascii="Times New Roman" w:hAnsi="Times New Roman" w:cs="Times New Roman"/>
          <w:b/>
          <w:sz w:val="24"/>
          <w:szCs w:val="24"/>
        </w:rPr>
        <w:t xml:space="preserve"> First-time Freshman Cohort</w:t>
      </w:r>
    </w:p>
    <w:p w:rsidR="00271D1A" w:rsidRDefault="00E13E73" w:rsidP="002A44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E73">
        <w:rPr>
          <w:noProof/>
        </w:rPr>
        <w:drawing>
          <wp:inline distT="0" distB="0" distL="0" distR="0" wp14:anchorId="56214B7D" wp14:editId="5659E482">
            <wp:extent cx="9144000" cy="152662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52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82" w:rsidRDefault="00480982" w:rsidP="00271D1A"/>
    <w:p w:rsidR="00762886" w:rsidRDefault="00762886" w:rsidP="00271D1A">
      <w:pPr>
        <w:jc w:val="center"/>
        <w:sectPr w:rsidR="00762886" w:rsidSect="002A444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2A444F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26B4">
        <w:rPr>
          <w:rFonts w:ascii="Times New Roman" w:hAnsi="Times New Roman" w:cs="Times New Roman"/>
          <w:b/>
          <w:sz w:val="24"/>
          <w:szCs w:val="24"/>
        </w:rPr>
        <w:lastRenderedPageBreak/>
        <w:t>Cohort Head Count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414F52" w:rsidRPr="00414F52" w:rsidTr="00414F5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571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563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544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527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616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</w:tr>
      <w:tr w:rsidR="00414F52" w:rsidRPr="00414F52" w:rsidTr="00414F5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4F52" w:rsidRPr="00414F52" w:rsidRDefault="00414F52" w:rsidP="00414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4F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642</w:t>
            </w:r>
          </w:p>
        </w:tc>
      </w:tr>
    </w:tbl>
    <w:p w:rsidR="00EF5029" w:rsidRPr="00EF5029" w:rsidRDefault="00414F52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ASU and SAU</w:t>
      </w:r>
      <w:r w:rsidR="00EF5029">
        <w:rPr>
          <w:rFonts w:ascii="Times New Roman" w:hAnsi="Times New Roman" w:cs="Times New Roman"/>
          <w:sz w:val="24"/>
          <w:szCs w:val="24"/>
        </w:rPr>
        <w:t xml:space="preserve"> showed a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EF5029">
        <w:rPr>
          <w:rFonts w:ascii="Times New Roman" w:hAnsi="Times New Roman" w:cs="Times New Roman"/>
          <w:sz w:val="24"/>
          <w:szCs w:val="24"/>
        </w:rPr>
        <w:t>crease in the cohort head count from 20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F5029">
        <w:rPr>
          <w:rFonts w:ascii="Times New Roman" w:hAnsi="Times New Roman" w:cs="Times New Roman"/>
          <w:sz w:val="24"/>
          <w:szCs w:val="24"/>
        </w:rPr>
        <w:t xml:space="preserve"> to 201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F5029">
        <w:rPr>
          <w:rFonts w:ascii="Times New Roman" w:hAnsi="Times New Roman" w:cs="Times New Roman"/>
          <w:sz w:val="24"/>
          <w:szCs w:val="24"/>
        </w:rPr>
        <w:t>.</w:t>
      </w:r>
    </w:p>
    <w:p w:rsidR="003E645D" w:rsidRDefault="003E645D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Percentage Who Received Federal Grants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A76C5" w:rsidRPr="008A76C5" w:rsidTr="008A76C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47%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46%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42%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</w:tr>
    </w:tbl>
    <w:p w:rsidR="005726B4" w:rsidRPr="00EF5029" w:rsidRDefault="008A76C5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HSU and SAU </w:t>
      </w:r>
      <w:r w:rsidR="00EF5029">
        <w:rPr>
          <w:rFonts w:ascii="Times New Roman" w:hAnsi="Times New Roman" w:cs="Times New Roman"/>
          <w:sz w:val="24"/>
          <w:szCs w:val="24"/>
        </w:rPr>
        <w:t>had a</w:t>
      </w:r>
      <w:r>
        <w:rPr>
          <w:rFonts w:ascii="Times New Roman" w:hAnsi="Times New Roman" w:cs="Times New Roman"/>
          <w:sz w:val="24"/>
          <w:szCs w:val="24"/>
        </w:rPr>
        <w:t>n</w:t>
      </w:r>
      <w:r w:rsidR="00EF50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EF5029">
        <w:rPr>
          <w:rFonts w:ascii="Times New Roman" w:hAnsi="Times New Roman" w:cs="Times New Roman"/>
          <w:sz w:val="24"/>
          <w:szCs w:val="24"/>
        </w:rPr>
        <w:t>crease in the number of students that received federal grants in 201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F5029">
        <w:rPr>
          <w:rFonts w:ascii="Times New Roman" w:hAnsi="Times New Roman" w:cs="Times New Roman"/>
          <w:sz w:val="24"/>
          <w:szCs w:val="24"/>
        </w:rPr>
        <w:t>.</w:t>
      </w:r>
    </w:p>
    <w:p w:rsidR="003E645D" w:rsidRDefault="003E645D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Average ACT Scores for All Freshman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A76C5" w:rsidRPr="008A76C5" w:rsidTr="008A76C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20.4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20.3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20.9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</w:tr>
    </w:tbl>
    <w:p w:rsidR="005726B4" w:rsidRDefault="008A76C5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of A</w:t>
      </w:r>
      <w:r w:rsidR="00EF5029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UALR</w:t>
      </w:r>
      <w:r w:rsidR="00EF5029">
        <w:rPr>
          <w:rFonts w:ascii="Times New Roman" w:hAnsi="Times New Roman" w:cs="Times New Roman"/>
          <w:sz w:val="24"/>
          <w:szCs w:val="24"/>
        </w:rPr>
        <w:t xml:space="preserve"> had a decrease in average ACT scores for 201</w:t>
      </w:r>
      <w:r>
        <w:rPr>
          <w:rFonts w:ascii="Times New Roman" w:hAnsi="Times New Roman" w:cs="Times New Roman"/>
          <w:sz w:val="24"/>
          <w:szCs w:val="24"/>
        </w:rPr>
        <w:t>1.</w:t>
      </w:r>
      <w:r w:rsidR="00EF5029">
        <w:rPr>
          <w:rFonts w:ascii="Times New Roman" w:hAnsi="Times New Roman" w:cs="Times New Roman"/>
          <w:sz w:val="24"/>
          <w:szCs w:val="24"/>
        </w:rPr>
        <w:t xml:space="preserve"> U of A continues to have the highest average ACT score.</w:t>
      </w:r>
    </w:p>
    <w:p w:rsidR="008A76C5" w:rsidRPr="00EF5029" w:rsidRDefault="008A76C5" w:rsidP="008A76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5029" w:rsidRDefault="00EF5029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First-Year Retention Rates</w:t>
      </w:r>
    </w:p>
    <w:tbl>
      <w:tblPr>
        <w:tblW w:w="57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8A76C5" w:rsidRPr="008A76C5" w:rsidTr="008A76C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56%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62%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60%</w:t>
            </w:r>
          </w:p>
        </w:tc>
      </w:tr>
      <w:tr w:rsidR="008A76C5" w:rsidRPr="008A76C5" w:rsidTr="008A76C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76C5" w:rsidRPr="008A76C5" w:rsidRDefault="008A76C5" w:rsidP="008A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60%</w:t>
            </w:r>
          </w:p>
        </w:tc>
      </w:tr>
    </w:tbl>
    <w:p w:rsidR="005726B4" w:rsidRPr="00EF5029" w:rsidRDefault="008A76C5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of A and ASU showed a decrease in first-year retention rates for 2011, while SAU stayed the same</w:t>
      </w:r>
      <w:r w:rsidR="00EF5029">
        <w:rPr>
          <w:rFonts w:ascii="Times New Roman" w:hAnsi="Times New Roman" w:cs="Times New Roman"/>
          <w:sz w:val="24"/>
          <w:szCs w:val="24"/>
        </w:rPr>
        <w:t>.</w:t>
      </w:r>
    </w:p>
    <w:p w:rsidR="003E645D" w:rsidRDefault="003E645D" w:rsidP="005726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726B4" w:rsidRDefault="005726B4" w:rsidP="00A4240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6-Year Graduation Rates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900"/>
        <w:gridCol w:w="900"/>
        <w:gridCol w:w="990"/>
        <w:gridCol w:w="900"/>
        <w:gridCol w:w="810"/>
      </w:tblGrid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Cohort</w:t>
            </w:r>
          </w:p>
        </w:tc>
        <w:tc>
          <w:tcPr>
            <w:tcW w:w="90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 of A</w:t>
            </w:r>
          </w:p>
        </w:tc>
        <w:tc>
          <w:tcPr>
            <w:tcW w:w="90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ASU</w:t>
            </w:r>
          </w:p>
        </w:tc>
        <w:tc>
          <w:tcPr>
            <w:tcW w:w="99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UALR</w:t>
            </w:r>
          </w:p>
        </w:tc>
        <w:tc>
          <w:tcPr>
            <w:tcW w:w="90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HSU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SAU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2000-2006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9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2001-2007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39%</w:t>
            </w:r>
          </w:p>
        </w:tc>
        <w:tc>
          <w:tcPr>
            <w:tcW w:w="99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36%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2002-2008</w:t>
            </w:r>
          </w:p>
        </w:tc>
        <w:tc>
          <w:tcPr>
            <w:tcW w:w="900" w:type="dxa"/>
          </w:tcPr>
          <w:p w:rsidR="008A76C5" w:rsidRPr="00CD1502" w:rsidRDefault="00CD1502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57%</w:t>
            </w:r>
          </w:p>
        </w:tc>
        <w:tc>
          <w:tcPr>
            <w:tcW w:w="900" w:type="dxa"/>
          </w:tcPr>
          <w:p w:rsidR="008A76C5" w:rsidRPr="00CD1502" w:rsidRDefault="00CD1502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0" w:type="dxa"/>
          </w:tcPr>
          <w:p w:rsidR="008A76C5" w:rsidRPr="00CD1502" w:rsidRDefault="00CD1502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900" w:type="dxa"/>
          </w:tcPr>
          <w:p w:rsidR="008A76C5" w:rsidRPr="00CD1502" w:rsidRDefault="00CD1502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1D56D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32%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2003-2009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00" w:type="dxa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38%</w:t>
            </w:r>
          </w:p>
        </w:tc>
        <w:tc>
          <w:tcPr>
            <w:tcW w:w="99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32%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2004-2010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58%</w:t>
            </w:r>
          </w:p>
        </w:tc>
        <w:tc>
          <w:tcPr>
            <w:tcW w:w="900" w:type="dxa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35%</w:t>
            </w:r>
          </w:p>
        </w:tc>
        <w:tc>
          <w:tcPr>
            <w:tcW w:w="99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34%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2005-2011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33%</w:t>
            </w:r>
          </w:p>
        </w:tc>
      </w:tr>
      <w:tr w:rsidR="00CD1502" w:rsidTr="00CD1502">
        <w:tc>
          <w:tcPr>
            <w:tcW w:w="1440" w:type="dxa"/>
          </w:tcPr>
          <w:p w:rsidR="008A76C5" w:rsidRPr="008A76C5" w:rsidRDefault="008A76C5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6C5">
              <w:rPr>
                <w:rFonts w:ascii="Times New Roman" w:hAnsi="Times New Roman" w:cs="Times New Roman"/>
                <w:b/>
                <w:sz w:val="24"/>
                <w:szCs w:val="24"/>
              </w:rPr>
              <w:t>2006-2012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99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5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19%</w:t>
            </w:r>
          </w:p>
        </w:tc>
        <w:tc>
          <w:tcPr>
            <w:tcW w:w="900" w:type="dxa"/>
          </w:tcPr>
          <w:p w:rsidR="008A76C5" w:rsidRPr="008A76C5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10" w:type="dxa"/>
            <w:shd w:val="clear" w:color="auto" w:fill="FFFF00"/>
          </w:tcPr>
          <w:p w:rsidR="008A76C5" w:rsidRPr="00CD1502" w:rsidRDefault="00CD1502" w:rsidP="008A7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15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33%</w:t>
            </w:r>
          </w:p>
        </w:tc>
      </w:tr>
    </w:tbl>
    <w:p w:rsidR="005726B4" w:rsidRDefault="00CD1502" w:rsidP="00CD15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UALR showed a decrease in 6-year graduation rates, while SAU remained the same.</w:t>
      </w: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5726B4" w:rsidP="00572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726B4" w:rsidRDefault="00EF5029" w:rsidP="00EF50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numbers in red indicate a decrease for the university.</w:t>
      </w:r>
    </w:p>
    <w:p w:rsidR="005726B4" w:rsidRDefault="005726B4" w:rsidP="002A444F">
      <w:pPr>
        <w:jc w:val="center"/>
        <w:sectPr w:rsidR="005726B4" w:rsidSect="002A444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A444F" w:rsidRDefault="005726B4" w:rsidP="002A44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</w:t>
      </w:r>
      <w:r w:rsidR="001D56D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&amp; 201</w:t>
      </w:r>
      <w:r w:rsidR="001D56D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CSRDE Comparison</w:t>
      </w:r>
    </w:p>
    <w:tbl>
      <w:tblPr>
        <w:tblW w:w="13697" w:type="dxa"/>
        <w:jc w:val="center"/>
        <w:tblInd w:w="93" w:type="dxa"/>
        <w:tblLook w:val="04A0" w:firstRow="1" w:lastRow="0" w:firstColumn="1" w:lastColumn="0" w:noHBand="0" w:noVBand="1"/>
      </w:tblPr>
      <w:tblGrid>
        <w:gridCol w:w="897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5726B4" w:rsidRPr="005726B4" w:rsidTr="001D56D6">
        <w:trPr>
          <w:trHeight w:val="315"/>
          <w:jc w:val="center"/>
        </w:trPr>
        <w:tc>
          <w:tcPr>
            <w:tcW w:w="897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Cohort Head Count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Received Fed. Grants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Underrep</w:t>
            </w:r>
            <w:proofErr w:type="spellEnd"/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Minorities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Years of Older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Residence Housing</w:t>
            </w:r>
          </w:p>
        </w:tc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High School Rank</w:t>
            </w:r>
          </w:p>
        </w:tc>
      </w:tr>
      <w:tr w:rsidR="005726B4" w:rsidRPr="005726B4" w:rsidTr="001D56D6">
        <w:trPr>
          <w:trHeight w:val="315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Top 10%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11-25%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26-50%</w:t>
            </w:r>
          </w:p>
        </w:tc>
      </w:tr>
      <w:tr w:rsidR="001D56D6" w:rsidRPr="005726B4" w:rsidTr="001D56D6">
        <w:trPr>
          <w:trHeight w:val="330"/>
          <w:jc w:val="center"/>
        </w:trPr>
        <w:tc>
          <w:tcPr>
            <w:tcW w:w="897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D56D6" w:rsidRPr="005726B4" w:rsidRDefault="001D56D6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56D6" w:rsidRPr="005726B4" w:rsidTr="001D56D6">
        <w:trPr>
          <w:trHeight w:val="330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1665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1D56D6" w:rsidRPr="005726B4" w:rsidTr="001D56D6">
        <w:trPr>
          <w:trHeight w:val="31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36%</w:t>
            </w:r>
          </w:p>
        </w:tc>
      </w:tr>
      <w:tr w:rsidR="001D56D6" w:rsidRPr="005726B4" w:rsidTr="001D56D6">
        <w:trPr>
          <w:trHeight w:val="31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23%</w:t>
            </w:r>
          </w:p>
        </w:tc>
      </w:tr>
      <w:tr w:rsidR="001D56D6" w:rsidRPr="005726B4" w:rsidTr="001D56D6">
        <w:trPr>
          <w:trHeight w:val="31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34%</w:t>
            </w:r>
          </w:p>
        </w:tc>
      </w:tr>
      <w:tr w:rsidR="001D56D6" w:rsidRPr="005726B4" w:rsidTr="001D56D6">
        <w:trPr>
          <w:trHeight w:val="31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29%</w:t>
            </w:r>
          </w:p>
        </w:tc>
      </w:tr>
    </w:tbl>
    <w:p w:rsidR="005726B4" w:rsidRDefault="006640E1" w:rsidP="00EF50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HSU, UALR, and U of A</w:t>
      </w:r>
      <w:r w:rsidR="00EF5029">
        <w:rPr>
          <w:rFonts w:ascii="Times New Roman" w:hAnsi="Times New Roman" w:cs="Times New Roman"/>
          <w:sz w:val="24"/>
          <w:szCs w:val="24"/>
        </w:rPr>
        <w:t xml:space="preserve"> showed an increase in the 201</w:t>
      </w:r>
      <w:r>
        <w:rPr>
          <w:rFonts w:ascii="Times New Roman" w:hAnsi="Times New Roman" w:cs="Times New Roman"/>
          <w:sz w:val="24"/>
          <w:szCs w:val="24"/>
        </w:rPr>
        <w:t>1</w:t>
      </w:r>
      <w:r w:rsidR="00EF5029">
        <w:rPr>
          <w:rFonts w:ascii="Times New Roman" w:hAnsi="Times New Roman" w:cs="Times New Roman"/>
          <w:sz w:val="24"/>
          <w:szCs w:val="24"/>
        </w:rPr>
        <w:t xml:space="preserve"> cohort head counts.</w:t>
      </w:r>
    </w:p>
    <w:p w:rsidR="00EF5029" w:rsidRDefault="003B006C" w:rsidP="00EF50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ASU, U of A </w:t>
      </w:r>
      <w:r w:rsidR="006640E1">
        <w:rPr>
          <w:rFonts w:ascii="Times New Roman" w:hAnsi="Times New Roman" w:cs="Times New Roman"/>
          <w:sz w:val="24"/>
          <w:szCs w:val="24"/>
        </w:rPr>
        <w:t xml:space="preserve">and UALR </w:t>
      </w:r>
      <w:r w:rsidR="00EF5029">
        <w:rPr>
          <w:rFonts w:ascii="Times New Roman" w:hAnsi="Times New Roman" w:cs="Times New Roman"/>
          <w:sz w:val="24"/>
          <w:szCs w:val="24"/>
        </w:rPr>
        <w:t>showed a decrease in the number of students that received federal grants.</w:t>
      </w:r>
    </w:p>
    <w:p w:rsidR="00EF5029" w:rsidRPr="00EF5029" w:rsidRDefault="006640E1" w:rsidP="00EF502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 and </w:t>
      </w:r>
      <w:r w:rsidR="00EF5029">
        <w:rPr>
          <w:rFonts w:ascii="Times New Roman" w:hAnsi="Times New Roman" w:cs="Times New Roman"/>
          <w:sz w:val="24"/>
          <w:szCs w:val="24"/>
        </w:rPr>
        <w:t>UALR showed a decrease in the number of underrepresent</w:t>
      </w:r>
      <w:r w:rsidR="00D87B8E">
        <w:rPr>
          <w:rFonts w:ascii="Times New Roman" w:hAnsi="Times New Roman" w:cs="Times New Roman"/>
          <w:sz w:val="24"/>
          <w:szCs w:val="24"/>
        </w:rPr>
        <w:t>ed</w:t>
      </w:r>
      <w:r w:rsidR="00EF5029">
        <w:rPr>
          <w:rFonts w:ascii="Times New Roman" w:hAnsi="Times New Roman" w:cs="Times New Roman"/>
          <w:sz w:val="24"/>
          <w:szCs w:val="24"/>
        </w:rPr>
        <w:t xml:space="preserve"> minorities</w:t>
      </w:r>
      <w:r w:rsidR="00E5223E">
        <w:rPr>
          <w:rFonts w:ascii="Times New Roman" w:hAnsi="Times New Roman" w:cs="Times New Roman"/>
          <w:sz w:val="24"/>
          <w:szCs w:val="24"/>
        </w:rPr>
        <w:t>.</w:t>
      </w:r>
    </w:p>
    <w:p w:rsidR="005726B4" w:rsidRDefault="005726B4" w:rsidP="005726B4">
      <w:pPr>
        <w:rPr>
          <w:rFonts w:ascii="Times New Roman" w:hAnsi="Times New Roman" w:cs="Times New Roman"/>
          <w:sz w:val="28"/>
          <w:szCs w:val="28"/>
        </w:rPr>
      </w:pPr>
    </w:p>
    <w:p w:rsidR="005726B4" w:rsidRDefault="005726B4" w:rsidP="005726B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20" w:type="dxa"/>
        <w:jc w:val="center"/>
        <w:tblInd w:w="93" w:type="dxa"/>
        <w:tblLook w:val="04A0" w:firstRow="1" w:lastRow="0" w:firstColumn="1" w:lastColumn="0" w:noHBand="0" w:noVBand="1"/>
      </w:tblPr>
      <w:tblGrid>
        <w:gridCol w:w="1000"/>
        <w:gridCol w:w="799"/>
        <w:gridCol w:w="800"/>
        <w:gridCol w:w="800"/>
        <w:gridCol w:w="800"/>
        <w:gridCol w:w="820"/>
        <w:gridCol w:w="820"/>
        <w:gridCol w:w="960"/>
        <w:gridCol w:w="960"/>
        <w:gridCol w:w="960"/>
        <w:gridCol w:w="960"/>
        <w:gridCol w:w="924"/>
        <w:gridCol w:w="924"/>
        <w:gridCol w:w="924"/>
        <w:gridCol w:w="1069"/>
      </w:tblGrid>
      <w:tr w:rsidR="005726B4" w:rsidRPr="005726B4" w:rsidTr="005726B4">
        <w:trPr>
          <w:trHeight w:val="315"/>
          <w:jc w:val="center"/>
        </w:trPr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1st-term GPA&lt;2.0</w:t>
            </w:r>
          </w:p>
        </w:tc>
        <w:tc>
          <w:tcPr>
            <w:tcW w:w="16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1st-term Avg. GPA</w:t>
            </w:r>
          </w:p>
        </w:tc>
        <w:tc>
          <w:tcPr>
            <w:tcW w:w="164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Avg. Admission Scores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1st Year Retention</w:t>
            </w:r>
          </w:p>
        </w:tc>
        <w:tc>
          <w:tcPr>
            <w:tcW w:w="3841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Percent Undergrad</w:t>
            </w:r>
          </w:p>
        </w:tc>
      </w:tr>
      <w:tr w:rsidR="005726B4" w:rsidRPr="005726B4" w:rsidTr="005726B4">
        <w:trPr>
          <w:trHeight w:val="315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5726B4" w:rsidRPr="005726B4" w:rsidRDefault="005726B4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Fall-to-Spring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Fall-to-Fall</w:t>
            </w:r>
          </w:p>
        </w:tc>
        <w:tc>
          <w:tcPr>
            <w:tcW w:w="184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Part-time</w:t>
            </w:r>
          </w:p>
        </w:tc>
        <w:tc>
          <w:tcPr>
            <w:tcW w:w="1993" w:type="dxa"/>
            <w:gridSpan w:val="2"/>
            <w:tcBorders>
              <w:top w:val="nil"/>
              <w:left w:val="double" w:sz="6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726B4" w:rsidRPr="005726B4" w:rsidRDefault="005726B4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Degree-seeking</w:t>
            </w:r>
          </w:p>
        </w:tc>
      </w:tr>
      <w:tr w:rsidR="001D56D6" w:rsidRPr="005726B4" w:rsidTr="005726B4">
        <w:trPr>
          <w:trHeight w:val="330"/>
          <w:jc w:val="center"/>
        </w:trPr>
        <w:tc>
          <w:tcPr>
            <w:tcW w:w="10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1D56D6" w:rsidRPr="005726B4" w:rsidRDefault="001D56D6" w:rsidP="00572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D56D6" w:rsidRPr="005726B4" w:rsidTr="001D56D6">
        <w:trPr>
          <w:trHeight w:val="330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ASU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3.04</w:t>
            </w: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92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106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93%</w:t>
            </w:r>
          </w:p>
        </w:tc>
      </w:tr>
      <w:tr w:rsidR="001D56D6" w:rsidRPr="005726B4" w:rsidTr="001D56D6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HSU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1D56D6" w:rsidRPr="005726B4" w:rsidTr="001D56D6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SAU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00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95%</w:t>
            </w:r>
          </w:p>
        </w:tc>
      </w:tr>
      <w:tr w:rsidR="001D56D6" w:rsidRPr="005726B4" w:rsidTr="001D56D6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UALR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87%</w:t>
            </w:r>
          </w:p>
        </w:tc>
      </w:tr>
      <w:tr w:rsidR="001D56D6" w:rsidRPr="005726B4" w:rsidTr="001D56D6">
        <w:trPr>
          <w:trHeight w:val="315"/>
          <w:jc w:val="center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 of A</w:t>
            </w:r>
          </w:p>
        </w:tc>
        <w:tc>
          <w:tcPr>
            <w:tcW w:w="79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5726B4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2.90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25.8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6F5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94%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56D6" w:rsidRPr="005726B4" w:rsidRDefault="00D1753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5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81%</w:t>
            </w:r>
          </w:p>
        </w:tc>
        <w:tc>
          <w:tcPr>
            <w:tcW w:w="92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92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6D6" w:rsidRPr="001D56D6" w:rsidRDefault="001D56D6" w:rsidP="001D5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D6">
              <w:rPr>
                <w:rFonts w:ascii="Times New Roman" w:eastAsia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D56D6" w:rsidRPr="005726B4" w:rsidRDefault="00B66F5B" w:rsidP="00572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98%</w:t>
            </w:r>
          </w:p>
        </w:tc>
      </w:tr>
    </w:tbl>
    <w:p w:rsidR="005726B4" w:rsidRDefault="006640E1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 and UALR </w:t>
      </w:r>
      <w:r w:rsidR="00E5223E">
        <w:rPr>
          <w:rFonts w:ascii="Times New Roman" w:hAnsi="Times New Roman" w:cs="Times New Roman"/>
          <w:sz w:val="24"/>
          <w:szCs w:val="24"/>
        </w:rPr>
        <w:t>showed a decrease in the number of students with a GPA of less than 2.00.</w:t>
      </w:r>
    </w:p>
    <w:p w:rsidR="00E5223E" w:rsidRDefault="006640E1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HSU and U of A </w:t>
      </w:r>
      <w:r w:rsidR="00E5223E">
        <w:rPr>
          <w:rFonts w:ascii="Times New Roman" w:hAnsi="Times New Roman" w:cs="Times New Roman"/>
          <w:sz w:val="24"/>
          <w:szCs w:val="24"/>
        </w:rPr>
        <w:t xml:space="preserve">showed a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E5223E">
        <w:rPr>
          <w:rFonts w:ascii="Times New Roman" w:hAnsi="Times New Roman" w:cs="Times New Roman"/>
          <w:sz w:val="24"/>
          <w:szCs w:val="24"/>
        </w:rPr>
        <w:t>crease in the first-term average GPA.</w:t>
      </w:r>
    </w:p>
    <w:p w:rsidR="00BB597A" w:rsidRDefault="00E5223E" w:rsidP="005726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SAU stayed the same for fall-to-spring retention, </w:t>
      </w:r>
      <w:r w:rsidR="006640E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for fall-to-fall retention.</w:t>
      </w:r>
    </w:p>
    <w:p w:rsidR="00E5223E" w:rsidRDefault="00E5223E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SAU </w:t>
      </w:r>
      <w:r w:rsidR="003B006C">
        <w:rPr>
          <w:rFonts w:ascii="Times New Roman" w:hAnsi="Times New Roman" w:cs="Times New Roman"/>
          <w:sz w:val="24"/>
          <w:szCs w:val="24"/>
        </w:rPr>
        <w:t>showed a decrease</w:t>
      </w:r>
      <w:r w:rsidR="006640E1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 xml:space="preserve">the number of part-time </w:t>
      </w:r>
      <w:r w:rsidR="003B006C">
        <w:rPr>
          <w:rFonts w:ascii="Times New Roman" w:hAnsi="Times New Roman" w:cs="Times New Roman"/>
          <w:sz w:val="24"/>
          <w:szCs w:val="24"/>
        </w:rPr>
        <w:t>and</w:t>
      </w:r>
      <w:r w:rsidR="0066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degree-seeking students.</w:t>
      </w:r>
    </w:p>
    <w:p w:rsidR="00E5223E" w:rsidRDefault="00E5223E" w:rsidP="00E522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223E" w:rsidRDefault="00E5223E" w:rsidP="00E5223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223E" w:rsidRPr="00E5223E" w:rsidRDefault="00E5223E" w:rsidP="00E5223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numbers in red indicate a decrease for the university.</w:t>
      </w:r>
    </w:p>
    <w:p w:rsidR="00BB597A" w:rsidRDefault="00B83CF4" w:rsidP="005726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AF7DEA" wp14:editId="3118C0DE">
            <wp:extent cx="4476584" cy="1979874"/>
            <wp:effectExtent l="0" t="0" r="19685" b="2095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BB597A">
        <w:rPr>
          <w:rFonts w:ascii="Times New Roman" w:hAnsi="Times New Roman" w:cs="Times New Roman"/>
          <w:sz w:val="28"/>
          <w:szCs w:val="28"/>
        </w:rPr>
        <w:tab/>
      </w:r>
      <w:r w:rsidR="002D2F4B">
        <w:rPr>
          <w:noProof/>
        </w:rPr>
        <w:drawing>
          <wp:inline distT="0" distB="0" distL="0" distR="0" wp14:anchorId="0E778649" wp14:editId="0A8D609F">
            <wp:extent cx="4230094" cy="1900361"/>
            <wp:effectExtent l="0" t="0" r="18415" b="2413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597A" w:rsidRDefault="002D2F4B" w:rsidP="005726B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53CAD40" wp14:editId="2590410B">
            <wp:extent cx="4412974" cy="2154804"/>
            <wp:effectExtent l="0" t="0" r="26035" b="1714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92660">
        <w:rPr>
          <w:rFonts w:ascii="Times New Roman" w:hAnsi="Times New Roman" w:cs="Times New Roman"/>
          <w:sz w:val="28"/>
          <w:szCs w:val="28"/>
        </w:rPr>
        <w:tab/>
      </w:r>
      <w:r w:rsidR="00B73A2B">
        <w:rPr>
          <w:noProof/>
        </w:rPr>
        <w:drawing>
          <wp:inline distT="0" distB="0" distL="0" distR="0" wp14:anchorId="2091F9A7" wp14:editId="2FB1F1AB">
            <wp:extent cx="4301655" cy="2091193"/>
            <wp:effectExtent l="0" t="0" r="22860" b="23495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2660" w:rsidRPr="005726B4" w:rsidRDefault="00B73A2B" w:rsidP="005926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1AF7A6A" wp14:editId="38AB1ECC">
            <wp:extent cx="4572000" cy="2194560"/>
            <wp:effectExtent l="0" t="0" r="19050" b="1524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592660" w:rsidRPr="005726B4" w:rsidSect="005726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20B5"/>
    <w:multiLevelType w:val="hybridMultilevel"/>
    <w:tmpl w:val="E7C882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3301AF"/>
    <w:multiLevelType w:val="hybridMultilevel"/>
    <w:tmpl w:val="96DE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51E95"/>
    <w:multiLevelType w:val="hybridMultilevel"/>
    <w:tmpl w:val="9BBE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9D2C5E"/>
    <w:multiLevelType w:val="hybridMultilevel"/>
    <w:tmpl w:val="9B96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42523"/>
    <w:multiLevelType w:val="hybridMultilevel"/>
    <w:tmpl w:val="D24A0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7B1796"/>
    <w:multiLevelType w:val="hybridMultilevel"/>
    <w:tmpl w:val="45D44646"/>
    <w:lvl w:ilvl="0" w:tplc="3A645B0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53F26"/>
    <w:multiLevelType w:val="hybridMultilevel"/>
    <w:tmpl w:val="BA5A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03349"/>
    <w:multiLevelType w:val="hybridMultilevel"/>
    <w:tmpl w:val="76A04D5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F672D0"/>
    <w:multiLevelType w:val="hybridMultilevel"/>
    <w:tmpl w:val="B60C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77803"/>
    <w:multiLevelType w:val="hybridMultilevel"/>
    <w:tmpl w:val="A2FAB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F34B2"/>
    <w:multiLevelType w:val="hybridMultilevel"/>
    <w:tmpl w:val="9A66D1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8096B"/>
    <w:multiLevelType w:val="hybridMultilevel"/>
    <w:tmpl w:val="14A8F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47"/>
    <w:rsid w:val="00024BAB"/>
    <w:rsid w:val="001D56D6"/>
    <w:rsid w:val="00271D1A"/>
    <w:rsid w:val="002906C8"/>
    <w:rsid w:val="002A444F"/>
    <w:rsid w:val="002D2F4B"/>
    <w:rsid w:val="003174D8"/>
    <w:rsid w:val="003B006C"/>
    <w:rsid w:val="003E645D"/>
    <w:rsid w:val="00414F52"/>
    <w:rsid w:val="00480982"/>
    <w:rsid w:val="00486119"/>
    <w:rsid w:val="004A7722"/>
    <w:rsid w:val="005726B4"/>
    <w:rsid w:val="00592660"/>
    <w:rsid w:val="00655E33"/>
    <w:rsid w:val="006640E1"/>
    <w:rsid w:val="00762886"/>
    <w:rsid w:val="008A76C5"/>
    <w:rsid w:val="00913349"/>
    <w:rsid w:val="00974C19"/>
    <w:rsid w:val="009E3C87"/>
    <w:rsid w:val="009F097F"/>
    <w:rsid w:val="00A42405"/>
    <w:rsid w:val="00A77A47"/>
    <w:rsid w:val="00B66F5B"/>
    <w:rsid w:val="00B73A2B"/>
    <w:rsid w:val="00B83CF4"/>
    <w:rsid w:val="00BA420E"/>
    <w:rsid w:val="00BB597A"/>
    <w:rsid w:val="00CC02BD"/>
    <w:rsid w:val="00CD1502"/>
    <w:rsid w:val="00D1753B"/>
    <w:rsid w:val="00D87B8E"/>
    <w:rsid w:val="00E13E73"/>
    <w:rsid w:val="00E5223E"/>
    <w:rsid w:val="00E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6B4"/>
    <w:pPr>
      <w:ind w:left="720"/>
      <w:contextualSpacing/>
    </w:pPr>
  </w:style>
  <w:style w:type="table" w:styleId="TableGrid">
    <w:name w:val="Table Grid"/>
    <w:basedOn w:val="TableNormal"/>
    <w:uiPriority w:val="59"/>
    <w:rsid w:val="008A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6B4"/>
    <w:pPr>
      <w:ind w:left="720"/>
      <w:contextualSpacing/>
    </w:pPr>
  </w:style>
  <w:style w:type="table" w:styleId="TableGrid">
    <w:name w:val="Table Grid"/>
    <w:basedOn w:val="TableNormal"/>
    <w:uiPriority w:val="59"/>
    <w:rsid w:val="008A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4.xml"/><Relationship Id="rId5" Type="http://schemas.openxmlformats.org/officeDocument/2006/relationships/settings" Target="settings.xml"/><Relationship Id="rId10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Cohort Head</a:t>
            </a:r>
            <a:r>
              <a:rPr lang="en-US" sz="1600" baseline="0"/>
              <a:t> Count</a:t>
            </a:r>
            <a:endParaRPr lang="en-US" sz="16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Sheet1!$Z$53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908657123381049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9086571233810499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1799591002043991E-3"/>
                  <c:y val="1.851851851851860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Sheet1!$AA$52:$AE$52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Sheet1!$AA$53:$AE$53</c:f>
              <c:numCache>
                <c:formatCode>General</c:formatCode>
                <c:ptCount val="5"/>
                <c:pt idx="0">
                  <c:v>2979</c:v>
                </c:pt>
                <c:pt idx="1">
                  <c:v>1752</c:v>
                </c:pt>
                <c:pt idx="3">
                  <c:v>727</c:v>
                </c:pt>
                <c:pt idx="4">
                  <c:v>624</c:v>
                </c:pt>
              </c:numCache>
            </c:numRef>
          </c:val>
        </c:ser>
        <c:ser>
          <c:idx val="1"/>
          <c:order val="1"/>
          <c:tx>
            <c:strRef>
              <c:f>Sheet1!$Z$54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dLbl>
              <c:idx val="2"/>
              <c:layout>
                <c:manualLayout>
                  <c:x val="-1.3633265167007498E-2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8888888888889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Sheet1!$AA$52:$AE$52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Sheet1!$AA$54:$AE$54</c:f>
              <c:numCache>
                <c:formatCode>General</c:formatCode>
                <c:ptCount val="5"/>
                <c:pt idx="0">
                  <c:v>2891</c:v>
                </c:pt>
                <c:pt idx="1">
                  <c:v>1650</c:v>
                </c:pt>
                <c:pt idx="2">
                  <c:v>666</c:v>
                </c:pt>
                <c:pt idx="3">
                  <c:v>627</c:v>
                </c:pt>
                <c:pt idx="4">
                  <c:v>616</c:v>
                </c:pt>
              </c:numCache>
            </c:numRef>
          </c:val>
        </c:ser>
        <c:ser>
          <c:idx val="2"/>
          <c:order val="2"/>
          <c:tx>
            <c:strRef>
              <c:f>Sheet1!$Z$55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1"/>
              <c:layout>
                <c:manualLayout>
                  <c:x val="1.9086571233810547E-2"/>
                  <c:y val="-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1799591002044997E-3"/>
                  <c:y val="-2.31481481481481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Sheet1!$AA$52:$AE$52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Sheet1!$AA$55:$AE$55</c:f>
              <c:numCache>
                <c:formatCode>General</c:formatCode>
                <c:ptCount val="5"/>
                <c:pt idx="0">
                  <c:v>3780</c:v>
                </c:pt>
                <c:pt idx="1">
                  <c:v>1665</c:v>
                </c:pt>
                <c:pt idx="2">
                  <c:v>767</c:v>
                </c:pt>
                <c:pt idx="3">
                  <c:v>799</c:v>
                </c:pt>
                <c:pt idx="4">
                  <c:v>643</c:v>
                </c:pt>
              </c:numCache>
            </c:numRef>
          </c:val>
        </c:ser>
        <c:ser>
          <c:idx val="3"/>
          <c:order val="3"/>
          <c:tx>
            <c:strRef>
              <c:f>Sheet1!$Z$56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6359918200408999E-2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33265167007498E-2"/>
                  <c:y val="4.62962962962962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359918200408999E-2"/>
                  <c:y val="9.25925925925925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359918200408999E-2"/>
                  <c:y val="1.388888888888888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Sheet1!$AA$52:$AE$52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Sheet1!$AA$56:$AE$56</c:f>
              <c:numCache>
                <c:formatCode>General</c:formatCode>
                <c:ptCount val="5"/>
                <c:pt idx="0">
                  <c:v>4414</c:v>
                </c:pt>
                <c:pt idx="1">
                  <c:v>1505</c:v>
                </c:pt>
                <c:pt idx="2">
                  <c:v>867</c:v>
                </c:pt>
                <c:pt idx="3">
                  <c:v>818</c:v>
                </c:pt>
                <c:pt idx="4">
                  <c:v>642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762560"/>
        <c:axId val="42406272"/>
      </c:barChart>
      <c:catAx>
        <c:axId val="39762560"/>
        <c:scaling>
          <c:orientation val="minMax"/>
        </c:scaling>
        <c:delete val="0"/>
        <c:axPos val="b"/>
        <c:majorTickMark val="out"/>
        <c:minorTickMark val="none"/>
        <c:tickLblPos val="nextTo"/>
        <c:crossAx val="42406272"/>
        <c:crosses val="autoZero"/>
        <c:auto val="1"/>
        <c:lblAlgn val="ctr"/>
        <c:lblOffset val="100"/>
        <c:noMultiLvlLbl val="0"/>
      </c:catAx>
      <c:valAx>
        <c:axId val="4240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76256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2006 &amp; 2011</a:t>
            </a:r>
          </a:p>
          <a:p>
            <a:pPr>
              <a:defRPr/>
            </a:pPr>
            <a:r>
              <a:rPr lang="en-US" sz="1600"/>
              <a:t>Federal Grant Recipient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Sheet1!$AG$31</c:f>
              <c:strCache>
                <c:ptCount val="1"/>
                <c:pt idx="0">
                  <c:v>2006</c:v>
                </c:pt>
              </c:strCache>
            </c:strRef>
          </c:tx>
          <c:spPr>
            <a:solidFill>
              <a:schemeClr val="tx2"/>
            </a:solidFill>
            <a:ln>
              <a:solidFill>
                <a:srgbClr val="0070C0"/>
              </a:solidFill>
            </a:ln>
          </c:spPr>
          <c:invertIfNegative val="0"/>
          <c:cat>
            <c:strRef>
              <c:f>Sheet1!$AH$30:$AL$30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Sheet1!$AH$31:$AL$31</c:f>
              <c:numCache>
                <c:formatCode>0%</c:formatCode>
                <c:ptCount val="5"/>
                <c:pt idx="0">
                  <c:v>0.16</c:v>
                </c:pt>
                <c:pt idx="1">
                  <c:v>0.44</c:v>
                </c:pt>
                <c:pt idx="2">
                  <c:v>0.45</c:v>
                </c:pt>
                <c:pt idx="3">
                  <c:v>0.42</c:v>
                </c:pt>
                <c:pt idx="4">
                  <c:v>0.42</c:v>
                </c:pt>
              </c:numCache>
            </c:numRef>
          </c:val>
        </c:ser>
        <c:ser>
          <c:idx val="1"/>
          <c:order val="1"/>
          <c:tx>
            <c:strRef>
              <c:f>Sheet1!$AG$32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Sheet1!$AH$30:$AL$30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Sheet1!$AH$32:$AL$32</c:f>
              <c:numCache>
                <c:formatCode>0%</c:formatCode>
                <c:ptCount val="5"/>
                <c:pt idx="0">
                  <c:v>0.23</c:v>
                </c:pt>
                <c:pt idx="1">
                  <c:v>0.48</c:v>
                </c:pt>
                <c:pt idx="2">
                  <c:v>0.54</c:v>
                </c:pt>
                <c:pt idx="3">
                  <c:v>0.61</c:v>
                </c:pt>
                <c:pt idx="4">
                  <c:v>0.62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5711488"/>
        <c:axId val="87871872"/>
      </c:barChart>
      <c:catAx>
        <c:axId val="85711488"/>
        <c:scaling>
          <c:orientation val="minMax"/>
        </c:scaling>
        <c:delete val="0"/>
        <c:axPos val="b"/>
        <c:majorTickMark val="out"/>
        <c:minorTickMark val="none"/>
        <c:tickLblPos val="nextTo"/>
        <c:crossAx val="87871872"/>
        <c:crosses val="autoZero"/>
        <c:auto val="1"/>
        <c:lblAlgn val="ctr"/>
        <c:lblOffset val="100"/>
        <c:noMultiLvlLbl val="0"/>
      </c:catAx>
      <c:valAx>
        <c:axId val="878718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571148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2006 &amp; 2011</a:t>
            </a:r>
          </a:p>
          <a:p>
            <a:pPr>
              <a:defRPr/>
            </a:pPr>
            <a:r>
              <a:rPr lang="en-US" sz="1600"/>
              <a:t>Average ACT Score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Sheet1!$AN$31</c:f>
              <c:strCache>
                <c:ptCount val="1"/>
                <c:pt idx="0">
                  <c:v>2006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Sheet1!$AO$30:$AS$30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Sheet1!$AO$31:$AS$31</c:f>
              <c:numCache>
                <c:formatCode>0.0</c:formatCode>
                <c:ptCount val="5"/>
                <c:pt idx="0">
                  <c:v>25.5</c:v>
                </c:pt>
                <c:pt idx="1">
                  <c:v>21.5</c:v>
                </c:pt>
                <c:pt idx="2">
                  <c:v>19.7</c:v>
                </c:pt>
                <c:pt idx="3">
                  <c:v>22.4</c:v>
                </c:pt>
                <c:pt idx="4">
                  <c:v>20.7</c:v>
                </c:pt>
              </c:numCache>
            </c:numRef>
          </c:val>
        </c:ser>
        <c:ser>
          <c:idx val="1"/>
          <c:order val="1"/>
          <c:tx>
            <c:strRef>
              <c:f>Sheet1!$AN$32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Sheet1!$AO$30:$AS$30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Sheet1!$AO$32:$AS$32</c:f>
              <c:numCache>
                <c:formatCode>General</c:formatCode>
                <c:ptCount val="5"/>
                <c:pt idx="0">
                  <c:v>25.7</c:v>
                </c:pt>
                <c:pt idx="1">
                  <c:v>22.8</c:v>
                </c:pt>
                <c:pt idx="2">
                  <c:v>21.9</c:v>
                </c:pt>
                <c:pt idx="3">
                  <c:v>21.4</c:v>
                </c:pt>
                <c:pt idx="4">
                  <c:v>21.7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7769088"/>
        <c:axId val="87770624"/>
      </c:barChart>
      <c:catAx>
        <c:axId val="87769088"/>
        <c:scaling>
          <c:orientation val="minMax"/>
        </c:scaling>
        <c:delete val="0"/>
        <c:axPos val="b"/>
        <c:majorTickMark val="out"/>
        <c:minorTickMark val="none"/>
        <c:tickLblPos val="nextTo"/>
        <c:crossAx val="87770624"/>
        <c:crosses val="autoZero"/>
        <c:auto val="1"/>
        <c:lblAlgn val="ctr"/>
        <c:lblOffset val="100"/>
        <c:noMultiLvlLbl val="0"/>
      </c:catAx>
      <c:valAx>
        <c:axId val="87770624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8776908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2006 &amp; 2011</a:t>
            </a:r>
          </a:p>
          <a:p>
            <a:pPr>
              <a:defRPr/>
            </a:pPr>
            <a:r>
              <a:rPr lang="en-US" sz="1600"/>
              <a:t>First-Year</a:t>
            </a:r>
            <a:r>
              <a:rPr lang="en-US" sz="1600" baseline="0"/>
              <a:t> Retention Comparison</a:t>
            </a:r>
            <a:endParaRPr lang="en-US" sz="16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Sheet1!$AG$58</c:f>
              <c:strCache>
                <c:ptCount val="1"/>
                <c:pt idx="0">
                  <c:v>2006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Sheet1!$AH$57:$AL$57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Sheet1!$AH$58:$AL$58</c:f>
              <c:numCache>
                <c:formatCode>0%</c:formatCode>
                <c:ptCount val="5"/>
                <c:pt idx="0">
                  <c:v>0.83</c:v>
                </c:pt>
                <c:pt idx="1">
                  <c:v>0.69</c:v>
                </c:pt>
                <c:pt idx="2">
                  <c:v>0.6</c:v>
                </c:pt>
                <c:pt idx="3">
                  <c:v>0.61</c:v>
                </c:pt>
                <c:pt idx="4">
                  <c:v>0.62</c:v>
                </c:pt>
              </c:numCache>
            </c:numRef>
          </c:val>
        </c:ser>
        <c:ser>
          <c:idx val="1"/>
          <c:order val="1"/>
          <c:tx>
            <c:strRef>
              <c:f>Sheet1!$AG$59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Sheet1!$AH$57:$AL$57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Sheet1!$AH$59:$AL$59</c:f>
              <c:numCache>
                <c:formatCode>0%</c:formatCode>
                <c:ptCount val="5"/>
                <c:pt idx="0">
                  <c:v>0.81</c:v>
                </c:pt>
                <c:pt idx="1">
                  <c:v>0.7</c:v>
                </c:pt>
                <c:pt idx="2">
                  <c:v>0.67</c:v>
                </c:pt>
                <c:pt idx="3">
                  <c:v>0.59</c:v>
                </c:pt>
                <c:pt idx="4">
                  <c:v>0.6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2553344"/>
        <c:axId val="42554880"/>
      </c:barChart>
      <c:catAx>
        <c:axId val="42553344"/>
        <c:scaling>
          <c:orientation val="minMax"/>
        </c:scaling>
        <c:delete val="0"/>
        <c:axPos val="b"/>
        <c:majorTickMark val="out"/>
        <c:minorTickMark val="none"/>
        <c:tickLblPos val="nextTo"/>
        <c:crossAx val="42554880"/>
        <c:crosses val="autoZero"/>
        <c:auto val="1"/>
        <c:lblAlgn val="ctr"/>
        <c:lblOffset val="100"/>
        <c:noMultiLvlLbl val="0"/>
      </c:catAx>
      <c:valAx>
        <c:axId val="425548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255334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2005 &amp; 2006 Cohort</a:t>
            </a:r>
          </a:p>
          <a:p>
            <a:pPr>
              <a:defRPr/>
            </a:pPr>
            <a:r>
              <a:rPr lang="en-US" sz="1600"/>
              <a:t>6-Year Graduation Rate Comparison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Sheet1!$AU$27</c:f>
              <c:strCache>
                <c:ptCount val="1"/>
                <c:pt idx="0">
                  <c:v>2005-2011</c:v>
                </c:pt>
              </c:strCache>
            </c:strRef>
          </c:tx>
          <c:spPr>
            <a:solidFill>
              <a:schemeClr val="tx2"/>
            </a:solidFill>
          </c:spPr>
          <c:invertIfNegative val="0"/>
          <c:cat>
            <c:strRef>
              <c:f>Sheet1!$AV$26:$AZ$26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Sheet1!$AV$27:$AZ$27</c:f>
              <c:numCache>
                <c:formatCode>0%</c:formatCode>
                <c:ptCount val="5"/>
                <c:pt idx="0">
                  <c:v>0.59</c:v>
                </c:pt>
                <c:pt idx="1">
                  <c:v>0.40200000000000002</c:v>
                </c:pt>
                <c:pt idx="2">
                  <c:v>0.245</c:v>
                </c:pt>
                <c:pt idx="3">
                  <c:v>0.29599999999999999</c:v>
                </c:pt>
                <c:pt idx="4">
                  <c:v>0.32800000000000001</c:v>
                </c:pt>
              </c:numCache>
            </c:numRef>
          </c:val>
        </c:ser>
        <c:ser>
          <c:idx val="1"/>
          <c:order val="1"/>
          <c:tx>
            <c:strRef>
              <c:f>Sheet1!$AU$28</c:f>
              <c:strCache>
                <c:ptCount val="1"/>
                <c:pt idx="0">
                  <c:v>2006-2012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Sheet1!$AV$26:$AZ$26</c:f>
              <c:strCache>
                <c:ptCount val="5"/>
                <c:pt idx="0">
                  <c:v>U of A</c:v>
                </c:pt>
                <c:pt idx="1">
                  <c:v>ASU</c:v>
                </c:pt>
                <c:pt idx="2">
                  <c:v>UALR</c:v>
                </c:pt>
                <c:pt idx="3">
                  <c:v>HSU</c:v>
                </c:pt>
                <c:pt idx="4">
                  <c:v>SAU</c:v>
                </c:pt>
              </c:strCache>
            </c:strRef>
          </c:cat>
          <c:val>
            <c:numRef>
              <c:f>Sheet1!$AV$28:$AZ$28</c:f>
              <c:numCache>
                <c:formatCode>0%</c:formatCode>
                <c:ptCount val="5"/>
                <c:pt idx="0">
                  <c:v>0.6</c:v>
                </c:pt>
                <c:pt idx="1">
                  <c:v>0.42</c:v>
                </c:pt>
                <c:pt idx="2">
                  <c:v>0.19</c:v>
                </c:pt>
                <c:pt idx="3">
                  <c:v>0.35</c:v>
                </c:pt>
                <c:pt idx="4">
                  <c:v>0.33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2618880"/>
        <c:axId val="42620416"/>
      </c:barChart>
      <c:catAx>
        <c:axId val="42618880"/>
        <c:scaling>
          <c:orientation val="minMax"/>
        </c:scaling>
        <c:delete val="0"/>
        <c:axPos val="b"/>
        <c:majorTickMark val="out"/>
        <c:minorTickMark val="none"/>
        <c:tickLblPos val="nextTo"/>
        <c:crossAx val="42620416"/>
        <c:crosses val="autoZero"/>
        <c:auto val="1"/>
        <c:lblAlgn val="ctr"/>
        <c:lblOffset val="100"/>
        <c:noMultiLvlLbl val="0"/>
      </c:catAx>
      <c:valAx>
        <c:axId val="42620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2618880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1990-8BE8-4760-B8C0-BA4BE4B3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Plummer</dc:creator>
  <cp:lastModifiedBy>Amy Plummer</cp:lastModifiedBy>
  <cp:revision>10</cp:revision>
  <cp:lastPrinted>2012-07-24T12:46:00Z</cp:lastPrinted>
  <dcterms:created xsi:type="dcterms:W3CDTF">2013-07-22T14:08:00Z</dcterms:created>
  <dcterms:modified xsi:type="dcterms:W3CDTF">2013-07-24T13:02:00Z</dcterms:modified>
</cp:coreProperties>
</file>