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2011-2012 CSRDE Retention Report Analysis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Cohort Characteristics</w:t>
      </w:r>
    </w:p>
    <w:p w:rsidR="00A77A47" w:rsidRPr="00351001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174D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362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883"/>
        <w:gridCol w:w="1293"/>
        <w:gridCol w:w="1408"/>
        <w:gridCol w:w="1168"/>
        <w:gridCol w:w="1351"/>
        <w:gridCol w:w="1128"/>
        <w:gridCol w:w="972"/>
        <w:gridCol w:w="972"/>
        <w:gridCol w:w="1307"/>
        <w:gridCol w:w="1090"/>
        <w:gridCol w:w="1150"/>
      </w:tblGrid>
      <w:tr w:rsidR="003174D8" w:rsidRPr="003174D8" w:rsidTr="003174D8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1st-term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1st-year Retention Rate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71.3%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3,780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83.5%</w:t>
            </w:r>
          </w:p>
        </w:tc>
      </w:tr>
    </w:tbl>
    <w:p w:rsidR="00486119" w:rsidRDefault="00486119"/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Institutional Characteristics</w:t>
      </w:r>
    </w:p>
    <w:p w:rsidR="003174D8" w:rsidRPr="00E15480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2010 First-time Freshman Cohorts</w:t>
      </w:r>
    </w:p>
    <w:tbl>
      <w:tblPr>
        <w:tblW w:w="11953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1536"/>
        <w:gridCol w:w="1580"/>
        <w:gridCol w:w="1280"/>
        <w:gridCol w:w="800"/>
        <w:gridCol w:w="1020"/>
        <w:gridCol w:w="2240"/>
        <w:gridCol w:w="1200"/>
        <w:gridCol w:w="1000"/>
      </w:tblGrid>
      <w:tr w:rsidR="003174D8" w:rsidRPr="003174D8" w:rsidTr="003174D8">
        <w:trPr>
          <w:trHeight w:val="33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Carnegie Classification Data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 Undergrad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Avg. Admission Scores - All Freshmen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1st-yr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Rates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Classification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of Urbanization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&amp; Setting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87.9%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71.3%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Distant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87.0%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Remote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Midsize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RU/VH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93.8%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83.5%</w:t>
            </w:r>
          </w:p>
        </w:tc>
      </w:tr>
    </w:tbl>
    <w:p w:rsidR="003174D8" w:rsidRDefault="00913349" w:rsidP="00317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2011-2012</w:t>
      </w:r>
      <w:r w:rsidR="003174D8">
        <w:rPr>
          <w:rFonts w:ascii="Times New Roman" w:hAnsi="Times New Roman" w:cs="Times New Roman"/>
          <w:b/>
          <w:sz w:val="28"/>
          <w:szCs w:val="28"/>
        </w:rPr>
        <w:t xml:space="preserve"> CSRDE Retention Report Analysis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Cohort Characteristics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2005 First-time Freshman Cohorts</w:t>
      </w:r>
    </w:p>
    <w:tbl>
      <w:tblPr>
        <w:tblW w:w="1464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960"/>
        <w:gridCol w:w="1140"/>
        <w:gridCol w:w="1220"/>
        <w:gridCol w:w="1160"/>
        <w:gridCol w:w="1240"/>
        <w:gridCol w:w="800"/>
        <w:gridCol w:w="800"/>
        <w:gridCol w:w="800"/>
        <w:gridCol w:w="1180"/>
        <w:gridCol w:w="1120"/>
        <w:gridCol w:w="920"/>
        <w:gridCol w:w="920"/>
        <w:gridCol w:w="1296"/>
      </w:tblGrid>
      <w:tr w:rsidR="003174D8" w:rsidRPr="003174D8" w:rsidTr="003174D8">
        <w:trPr>
          <w:trHeight w:val="315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1st-term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GPA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1st-yr Retention Rate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6-year Graduation Rate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1,491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86.5%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71.9%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40.2%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62.1%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60.9%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2,666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59.0%</w:t>
            </w:r>
          </w:p>
        </w:tc>
      </w:tr>
    </w:tbl>
    <w:p w:rsidR="003174D8" w:rsidRDefault="003174D8" w:rsidP="002A444F"/>
    <w:p w:rsidR="002A444F" w:rsidRDefault="002A444F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Institutional Characteristics</w:t>
      </w:r>
    </w:p>
    <w:p w:rsidR="003174D8" w:rsidRDefault="00D87B8E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2005</w:t>
      </w:r>
      <w:r w:rsidR="002A444F">
        <w:rPr>
          <w:rFonts w:ascii="Times New Roman" w:hAnsi="Times New Roman" w:cs="Times New Roman"/>
          <w:b/>
          <w:sz w:val="24"/>
          <w:szCs w:val="24"/>
        </w:rPr>
        <w:t xml:space="preserve"> First-time Freshman Cohort</w:t>
      </w:r>
    </w:p>
    <w:p w:rsidR="002A444F" w:rsidRDefault="002A444F" w:rsidP="002A444F">
      <w:pPr>
        <w:jc w:val="center"/>
        <w:sectPr w:rsidR="002A444F" w:rsidSect="002A444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2A444F">
        <w:rPr>
          <w:noProof/>
        </w:rPr>
        <w:drawing>
          <wp:inline distT="0" distB="0" distL="0" distR="0" wp14:anchorId="04CA1359" wp14:editId="5754E0B2">
            <wp:extent cx="8308975" cy="1605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97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4F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6B4">
        <w:rPr>
          <w:rFonts w:ascii="Times New Roman" w:hAnsi="Times New Roman" w:cs="Times New Roman"/>
          <w:b/>
          <w:sz w:val="24"/>
          <w:szCs w:val="24"/>
        </w:rPr>
        <w:lastRenderedPageBreak/>
        <w:t>Cohort Head Count</w:t>
      </w:r>
    </w:p>
    <w:tbl>
      <w:tblPr>
        <w:tblW w:w="565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5726B4" w:rsidRPr="005726B4" w:rsidTr="003E645D">
        <w:trPr>
          <w:trHeight w:val="31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5726B4" w:rsidRPr="005726B4" w:rsidTr="003E645D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571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563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544</w:t>
            </w:r>
          </w:p>
        </w:tc>
      </w:tr>
      <w:tr w:rsidR="00A42405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567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527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616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BA420E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</w:tr>
    </w:tbl>
    <w:p w:rsidR="00EF5029" w:rsidRPr="00EF5029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showed an increase in the cohort head count from 2009 to 2010.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Percentage Who Received Federal Grants</w:t>
      </w:r>
    </w:p>
    <w:tbl>
      <w:tblPr>
        <w:tblW w:w="565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5726B4" w:rsidRPr="005726B4" w:rsidTr="003E645D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</w:tr>
      <w:tr w:rsidR="00A42405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BA420E" w:rsidP="00BA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47</w:t>
            </w:r>
            <w:r w:rsidR="005726B4"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</w:tr>
      <w:tr w:rsidR="005726B4" w:rsidRPr="005726B4" w:rsidTr="003E645D">
        <w:trPr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</w:tr>
    </w:tbl>
    <w:p w:rsidR="005726B4" w:rsidRPr="00EF5029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 had a decrease in the number of students that received federal grants in 2010.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Average ACT Scores for All Freshman</w:t>
      </w:r>
    </w:p>
    <w:tbl>
      <w:tblPr>
        <w:tblW w:w="565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5726B4" w:rsidRPr="005726B4" w:rsidTr="003E645D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20.4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</w:tr>
      <w:tr w:rsidR="00A42405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2405" w:rsidRPr="005726B4" w:rsidRDefault="00A42405" w:rsidP="00A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A42405" w:rsidP="00A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726B4"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A42405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</w:t>
            </w:r>
            <w:r w:rsidR="005726B4"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20.6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20.3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5726B4" w:rsidRPr="005726B4" w:rsidTr="003E645D">
        <w:trPr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20.9</w:t>
            </w:r>
          </w:p>
        </w:tc>
      </w:tr>
    </w:tbl>
    <w:p w:rsidR="005726B4" w:rsidRPr="00EF5029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HSU and SAU had a decrease in average ACT scores for 2010, while U of A continues to have the highest average ACT score.</w:t>
      </w:r>
    </w:p>
    <w:p w:rsidR="00EF5029" w:rsidRDefault="00EF5029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First-Year Retention Rates</w:t>
      </w:r>
    </w:p>
    <w:tbl>
      <w:tblPr>
        <w:tblW w:w="565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5726B4" w:rsidRPr="005726B4" w:rsidTr="003E645D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</w:tr>
      <w:tr w:rsidR="00A42405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655E33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655E33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E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655E33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655E33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E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405" w:rsidRPr="005726B4" w:rsidRDefault="00655E33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2405" w:rsidRPr="005726B4" w:rsidRDefault="00655E33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5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5E33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5726B4" w:rsidRPr="005726B4" w:rsidTr="003E645D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5726B4" w:rsidRPr="005726B4" w:rsidTr="003E645D">
        <w:trPr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</w:tr>
    </w:tbl>
    <w:p w:rsidR="005726B4" w:rsidRPr="00EF5029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SAU’s first-year retention rate decreased for the second year in a row.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6-Year Graduation Rates</w:t>
      </w: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</w:tblGrid>
      <w:tr w:rsidR="005726B4" w:rsidRPr="005726B4" w:rsidTr="005726B4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5726B4" w:rsidRPr="005726B4" w:rsidTr="005726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2000-2006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</w:tr>
      <w:tr w:rsidR="005726B4" w:rsidRPr="005726B4" w:rsidTr="005726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2001-2007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36%</w:t>
            </w:r>
          </w:p>
        </w:tc>
      </w:tr>
      <w:tr w:rsidR="005726B4" w:rsidRPr="005726B4" w:rsidTr="005726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2002-2008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32%</w:t>
            </w:r>
          </w:p>
        </w:tc>
      </w:tr>
      <w:tr w:rsidR="005726B4" w:rsidRPr="005726B4" w:rsidTr="005726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2003-2009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  <w:tr w:rsidR="005726B4" w:rsidRPr="005726B4" w:rsidTr="005726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2004-2010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</w:tr>
      <w:tr w:rsidR="005726B4" w:rsidRPr="005726B4" w:rsidTr="005726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2005-2011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</w:tr>
    </w:tbl>
    <w:p w:rsidR="005726B4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that submitted data increased from the 2004 to the 2005 cohort except SAU</w:t>
      </w:r>
      <w:r w:rsidR="00D87B8E">
        <w:rPr>
          <w:rFonts w:ascii="Times New Roman" w:hAnsi="Times New Roman" w:cs="Times New Roman"/>
          <w:sz w:val="24"/>
          <w:szCs w:val="24"/>
        </w:rPr>
        <w:t xml:space="preserve"> which decreased and HSU which remained the same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5726B4" w:rsidRDefault="005726B4" w:rsidP="002A444F">
      <w:pPr>
        <w:jc w:val="center"/>
        <w:sectPr w:rsidR="005726B4" w:rsidSect="002A44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444F" w:rsidRDefault="005726B4" w:rsidP="002A4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2009 &amp; 2010 CSRDE Comparison</w:t>
      </w:r>
    </w:p>
    <w:tbl>
      <w:tblPr>
        <w:tblW w:w="13620" w:type="dxa"/>
        <w:jc w:val="center"/>
        <w:tblInd w:w="93" w:type="dxa"/>
        <w:tblLook w:val="04A0" w:firstRow="1" w:lastRow="0" w:firstColumn="1" w:lastColumn="0" w:noHBand="0" w:noVBand="1"/>
      </w:tblPr>
      <w:tblGrid>
        <w:gridCol w:w="897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5726B4" w:rsidRPr="005726B4" w:rsidTr="005726B4">
        <w:trPr>
          <w:trHeight w:val="315"/>
          <w:jc w:val="center"/>
        </w:trPr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Underrep</w:t>
            </w:r>
            <w:proofErr w:type="spellEnd"/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Years of Older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High School Rank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26-50%</w:t>
            </w:r>
          </w:p>
        </w:tc>
      </w:tr>
      <w:tr w:rsidR="005726B4" w:rsidRPr="005726B4" w:rsidTr="005726B4">
        <w:trPr>
          <w:trHeight w:val="330"/>
          <w:jc w:val="center"/>
        </w:trPr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5726B4" w:rsidRPr="005726B4" w:rsidTr="005726B4">
        <w:trPr>
          <w:trHeight w:val="33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</w:tbl>
    <w:p w:rsidR="005726B4" w:rsidRDefault="00EF5029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showed an increase in the 2010 cohort head counts.</w:t>
      </w:r>
    </w:p>
    <w:p w:rsidR="00EF5029" w:rsidRDefault="00EF5029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 showed a decrease in the number of students that received federal grants.</w:t>
      </w:r>
    </w:p>
    <w:p w:rsidR="00EF5029" w:rsidRPr="00EF5029" w:rsidRDefault="00EF5029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UALR showed a decrease in the number of underrepresent</w:t>
      </w:r>
      <w:r w:rsidR="00D87B8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minorities</w:t>
      </w:r>
      <w:r w:rsidR="00E5223E">
        <w:rPr>
          <w:rFonts w:ascii="Times New Roman" w:hAnsi="Times New Roman" w:cs="Times New Roman"/>
          <w:sz w:val="24"/>
          <w:szCs w:val="24"/>
        </w:rPr>
        <w:t>.</w:t>
      </w:r>
    </w:p>
    <w:p w:rsidR="005726B4" w:rsidRDefault="005726B4" w:rsidP="005726B4">
      <w:pPr>
        <w:rPr>
          <w:rFonts w:ascii="Times New Roman" w:hAnsi="Times New Roman" w:cs="Times New Roman"/>
          <w:sz w:val="28"/>
          <w:szCs w:val="28"/>
        </w:rPr>
      </w:pPr>
    </w:p>
    <w:p w:rsidR="005726B4" w:rsidRDefault="005726B4" w:rsidP="005726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20" w:type="dxa"/>
        <w:jc w:val="center"/>
        <w:tblInd w:w="93" w:type="dxa"/>
        <w:tblLook w:val="04A0" w:firstRow="1" w:lastRow="0" w:firstColumn="1" w:lastColumn="0" w:noHBand="0" w:noVBand="1"/>
      </w:tblPr>
      <w:tblGrid>
        <w:gridCol w:w="1000"/>
        <w:gridCol w:w="799"/>
        <w:gridCol w:w="800"/>
        <w:gridCol w:w="800"/>
        <w:gridCol w:w="800"/>
        <w:gridCol w:w="820"/>
        <w:gridCol w:w="820"/>
        <w:gridCol w:w="960"/>
        <w:gridCol w:w="960"/>
        <w:gridCol w:w="960"/>
        <w:gridCol w:w="960"/>
        <w:gridCol w:w="924"/>
        <w:gridCol w:w="924"/>
        <w:gridCol w:w="924"/>
        <w:gridCol w:w="1069"/>
      </w:tblGrid>
      <w:tr w:rsidR="005726B4" w:rsidRPr="005726B4" w:rsidTr="005726B4">
        <w:trPr>
          <w:trHeight w:val="315"/>
          <w:jc w:val="center"/>
        </w:trPr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Avg. GPA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Avg. Admission Scores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 Year Retention</w:t>
            </w:r>
          </w:p>
        </w:tc>
        <w:tc>
          <w:tcPr>
            <w:tcW w:w="384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Undergrad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Fall-to-Spring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Fall-to-Fall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993" w:type="dxa"/>
            <w:gridSpan w:val="2"/>
            <w:tcBorders>
              <w:top w:val="nil"/>
              <w:left w:val="double" w:sz="6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</w:tr>
      <w:tr w:rsidR="005726B4" w:rsidRPr="005726B4" w:rsidTr="005726B4">
        <w:trPr>
          <w:trHeight w:val="330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5726B4" w:rsidRPr="005726B4" w:rsidTr="005726B4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89%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</w:tr>
    </w:tbl>
    <w:p w:rsidR="005726B4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that submitted data showed a decrease in the number of students with a GPA of less than 2.00.</w:t>
      </w:r>
    </w:p>
    <w:p w:rsid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that submitted data showed an increase in the first-term average GPA.</w:t>
      </w:r>
    </w:p>
    <w:p w:rsidR="00BB597A" w:rsidRDefault="00E5223E" w:rsidP="005726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 stayed the same for fall-to-spring retention, but decreased for fall-to-fall retention.</w:t>
      </w:r>
    </w:p>
    <w:p w:rsid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 showed an increase in the number of part-time and degree-seeking students.</w:t>
      </w:r>
    </w:p>
    <w:p w:rsidR="00E5223E" w:rsidRDefault="00E5223E" w:rsidP="00E522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223E" w:rsidRDefault="00E5223E" w:rsidP="00E522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223E" w:rsidRP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BB597A" w:rsidRDefault="00BB597A" w:rsidP="005726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65DB4E" wp14:editId="71DCA81F">
            <wp:extent cx="4420925" cy="1940118"/>
            <wp:effectExtent l="0" t="0" r="17780" b="222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0F2A54E8" wp14:editId="5A523EA8">
            <wp:extent cx="4389120" cy="1940119"/>
            <wp:effectExtent l="0" t="0" r="11430" b="222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597A" w:rsidRDefault="00592660" w:rsidP="005726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DA4EBD" wp14:editId="02A6EA3B">
            <wp:extent cx="4420925" cy="2091193"/>
            <wp:effectExtent l="0" t="0" r="17780" b="234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29DB07D3" wp14:editId="5C9CDD11">
            <wp:extent cx="4071067" cy="2099144"/>
            <wp:effectExtent l="0" t="0" r="24765" b="1587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2660" w:rsidRPr="005726B4" w:rsidRDefault="00592660" w:rsidP="005926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7DC24D" wp14:editId="046994FB">
            <wp:extent cx="4572000" cy="2401294"/>
            <wp:effectExtent l="0" t="0" r="19050" b="1841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592660" w:rsidRPr="005726B4" w:rsidSect="005726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0B5"/>
    <w:multiLevelType w:val="hybridMultilevel"/>
    <w:tmpl w:val="E7C882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301AF"/>
    <w:multiLevelType w:val="hybridMultilevel"/>
    <w:tmpl w:val="96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51E95"/>
    <w:multiLevelType w:val="hybridMultilevel"/>
    <w:tmpl w:val="9BBE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2C5E"/>
    <w:multiLevelType w:val="hybridMultilevel"/>
    <w:tmpl w:val="9B96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42523"/>
    <w:multiLevelType w:val="hybridMultilevel"/>
    <w:tmpl w:val="D24A0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B1796"/>
    <w:multiLevelType w:val="hybridMultilevel"/>
    <w:tmpl w:val="45D44646"/>
    <w:lvl w:ilvl="0" w:tplc="3A645B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53F26"/>
    <w:multiLevelType w:val="hybridMultilevel"/>
    <w:tmpl w:val="BA5A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3349"/>
    <w:multiLevelType w:val="hybridMultilevel"/>
    <w:tmpl w:val="76A04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F672D0"/>
    <w:multiLevelType w:val="hybridMultilevel"/>
    <w:tmpl w:val="B60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77803"/>
    <w:multiLevelType w:val="hybridMultilevel"/>
    <w:tmpl w:val="E228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F34B2"/>
    <w:multiLevelType w:val="hybridMultilevel"/>
    <w:tmpl w:val="9A66D1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8096B"/>
    <w:multiLevelType w:val="hybridMultilevel"/>
    <w:tmpl w:val="14A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47"/>
    <w:rsid w:val="002A444F"/>
    <w:rsid w:val="003174D8"/>
    <w:rsid w:val="003E645D"/>
    <w:rsid w:val="00486119"/>
    <w:rsid w:val="004A7722"/>
    <w:rsid w:val="005726B4"/>
    <w:rsid w:val="00592660"/>
    <w:rsid w:val="00655E33"/>
    <w:rsid w:val="00913349"/>
    <w:rsid w:val="00A42405"/>
    <w:rsid w:val="00A77A47"/>
    <w:rsid w:val="00BA420E"/>
    <w:rsid w:val="00BB597A"/>
    <w:rsid w:val="00D87B8E"/>
    <w:rsid w:val="00E5223E"/>
    <w:rsid w:val="00E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Cohort Head Count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2.2222222222222223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111111111111112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666666666666666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666666666666566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Sheet3!$A$4:$A$8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Sheet3!$B$4:$B$8</c:f>
              <c:numCache>
                <c:formatCode>General</c:formatCode>
                <c:ptCount val="5"/>
                <c:pt idx="0">
                  <c:v>2879</c:v>
                </c:pt>
                <c:pt idx="1">
                  <c:v>1666</c:v>
                </c:pt>
                <c:pt idx="2">
                  <c:v>814</c:v>
                </c:pt>
                <c:pt idx="3">
                  <c:v>786</c:v>
                </c:pt>
                <c:pt idx="4">
                  <c:v>527</c:v>
                </c:pt>
              </c:numCache>
            </c:numRef>
          </c:val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-5.5555555555555558E-3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555555555555558E-3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3333333333332309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Sheet3!$A$4:$A$8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Sheet3!$C$4:$C$8</c:f>
              <c:numCache>
                <c:formatCode>General</c:formatCode>
                <c:ptCount val="5"/>
                <c:pt idx="0">
                  <c:v>2979</c:v>
                </c:pt>
                <c:pt idx="1">
                  <c:v>1752</c:v>
                </c:pt>
                <c:pt idx="3">
                  <c:v>727</c:v>
                </c:pt>
                <c:pt idx="4">
                  <c:v>624</c:v>
                </c:pt>
              </c:numCache>
            </c:numRef>
          </c:val>
        </c:ser>
        <c:ser>
          <c:idx val="2"/>
          <c:order val="2"/>
          <c:tx>
            <c:strRef>
              <c:f>Sheet3!$D$3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652299037503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829226915181777E-3"/>
                  <c:y val="3.30459807500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829226915181777E-3"/>
                  <c:y val="4.5178452632793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8727019797892975E-3"/>
                  <c:y val="4.6934833499430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3.6799909788197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Sheet3!$A$4:$A$8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Sheet3!$D$4:$D$8</c:f>
              <c:numCache>
                <c:formatCode>General</c:formatCode>
                <c:ptCount val="5"/>
                <c:pt idx="0">
                  <c:v>2891</c:v>
                </c:pt>
                <c:pt idx="1">
                  <c:v>1650</c:v>
                </c:pt>
                <c:pt idx="2">
                  <c:v>666</c:v>
                </c:pt>
                <c:pt idx="3">
                  <c:v>627</c:v>
                </c:pt>
                <c:pt idx="4">
                  <c:v>616</c:v>
                </c:pt>
              </c:numCache>
            </c:numRef>
          </c:val>
        </c:ser>
        <c:ser>
          <c:idx val="3"/>
          <c:order val="3"/>
          <c:tx>
            <c:strRef>
              <c:f>Sheet3!$E$3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6490779644531401E-2"/>
                  <c:y val="2.6899948739699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444225721784777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Sheet3!$A$4:$A$8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Sheet3!$E$4:$E$8</c:f>
              <c:numCache>
                <c:formatCode>General</c:formatCode>
                <c:ptCount val="5"/>
                <c:pt idx="0">
                  <c:v>3780</c:v>
                </c:pt>
                <c:pt idx="1">
                  <c:v>1665</c:v>
                </c:pt>
                <c:pt idx="2">
                  <c:v>767</c:v>
                </c:pt>
                <c:pt idx="3">
                  <c:v>799</c:v>
                </c:pt>
                <c:pt idx="4">
                  <c:v>643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5828352"/>
        <c:axId val="65829888"/>
      </c:barChart>
      <c:catAx>
        <c:axId val="65828352"/>
        <c:scaling>
          <c:orientation val="minMax"/>
        </c:scaling>
        <c:delete val="0"/>
        <c:axPos val="b"/>
        <c:majorTickMark val="out"/>
        <c:minorTickMark val="none"/>
        <c:tickLblPos val="nextTo"/>
        <c:crossAx val="65829888"/>
        <c:crosses val="autoZero"/>
        <c:auto val="1"/>
        <c:lblAlgn val="ctr"/>
        <c:lblOffset val="100"/>
        <c:noMultiLvlLbl val="0"/>
      </c:catAx>
      <c:valAx>
        <c:axId val="6582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58283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2005 &amp; 2010</a:t>
            </a:r>
          </a:p>
          <a:p>
            <a:pPr>
              <a:defRPr/>
            </a:pPr>
            <a:r>
              <a:rPr lang="en-US" sz="1600"/>
              <a:t>Federal</a:t>
            </a:r>
            <a:r>
              <a:rPr lang="en-US" sz="1600" baseline="0"/>
              <a:t> Grant Recipient Comparison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Sheet3!$B$21</c:f>
              <c:strCache>
                <c:ptCount val="1"/>
                <c:pt idx="0">
                  <c:v>2005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Sheet3!$A$22:$A$26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Sheet3!$B$22:$B$26</c:f>
              <c:numCache>
                <c:formatCode>0%</c:formatCode>
                <c:ptCount val="5"/>
                <c:pt idx="0">
                  <c:v>0.16</c:v>
                </c:pt>
                <c:pt idx="1">
                  <c:v>0.44</c:v>
                </c:pt>
                <c:pt idx="2">
                  <c:v>0.47</c:v>
                </c:pt>
                <c:pt idx="3">
                  <c:v>0.49</c:v>
                </c:pt>
                <c:pt idx="4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Sheet3!$C$21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Sheet3!$A$22:$A$26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Sheet3!$C$22:$C$26</c:f>
              <c:numCache>
                <c:formatCode>0%</c:formatCode>
                <c:ptCount val="5"/>
                <c:pt idx="0">
                  <c:v>0.24</c:v>
                </c:pt>
                <c:pt idx="1">
                  <c:v>0.51</c:v>
                </c:pt>
                <c:pt idx="2">
                  <c:v>0.56999999999999995</c:v>
                </c:pt>
                <c:pt idx="3">
                  <c:v>0.52</c:v>
                </c:pt>
                <c:pt idx="4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93504"/>
        <c:axId val="43895040"/>
      </c:barChart>
      <c:catAx>
        <c:axId val="43893504"/>
        <c:scaling>
          <c:orientation val="minMax"/>
        </c:scaling>
        <c:delete val="0"/>
        <c:axPos val="b"/>
        <c:majorTickMark val="out"/>
        <c:minorTickMark val="none"/>
        <c:tickLblPos val="nextTo"/>
        <c:crossAx val="43895040"/>
        <c:crosses val="autoZero"/>
        <c:auto val="1"/>
        <c:lblAlgn val="ctr"/>
        <c:lblOffset val="100"/>
        <c:noMultiLvlLbl val="0"/>
      </c:catAx>
      <c:valAx>
        <c:axId val="43895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935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2005 &amp; 2010 Average ACT</a:t>
            </a:r>
            <a:r>
              <a:rPr lang="en-US" sz="1600" baseline="0"/>
              <a:t> Score Comparison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Sheet3!$Q$3</c:f>
              <c:strCache>
                <c:ptCount val="1"/>
                <c:pt idx="0">
                  <c:v>2005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-8.3333333333333332E-3"/>
                  <c:y val="-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Sheet3!$P$4:$P$8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Sheet3!$Q$4:$Q$8</c:f>
              <c:numCache>
                <c:formatCode>0.0</c:formatCode>
                <c:ptCount val="5"/>
                <c:pt idx="0">
                  <c:v>25.4</c:v>
                </c:pt>
                <c:pt idx="1">
                  <c:v>21.3</c:v>
                </c:pt>
                <c:pt idx="2">
                  <c:v>20.2</c:v>
                </c:pt>
                <c:pt idx="3">
                  <c:v>22</c:v>
                </c:pt>
                <c:pt idx="4">
                  <c:v>20.6</c:v>
                </c:pt>
              </c:numCache>
            </c:numRef>
          </c:val>
        </c:ser>
        <c:ser>
          <c:idx val="1"/>
          <c:order val="1"/>
          <c:tx>
            <c:strRef>
              <c:f>Sheet3!$R$3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-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88E-2"/>
                  <c:y val="9.25925925925921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Sheet3!$P$4:$P$8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Sheet3!$R$4:$R$8</c:f>
              <c:numCache>
                <c:formatCode>0.0</c:formatCode>
                <c:ptCount val="5"/>
                <c:pt idx="0">
                  <c:v>25.8</c:v>
                </c:pt>
                <c:pt idx="1">
                  <c:v>22.1</c:v>
                </c:pt>
                <c:pt idx="2">
                  <c:v>22.1</c:v>
                </c:pt>
                <c:pt idx="3">
                  <c:v>21</c:v>
                </c:pt>
                <c:pt idx="4">
                  <c:v>20.9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798528"/>
        <c:axId val="43800064"/>
      </c:barChart>
      <c:catAx>
        <c:axId val="43798528"/>
        <c:scaling>
          <c:orientation val="minMax"/>
        </c:scaling>
        <c:delete val="0"/>
        <c:axPos val="b"/>
        <c:majorTickMark val="out"/>
        <c:minorTickMark val="none"/>
        <c:tickLblPos val="nextTo"/>
        <c:crossAx val="43800064"/>
        <c:crosses val="autoZero"/>
        <c:auto val="1"/>
        <c:lblAlgn val="ctr"/>
        <c:lblOffset val="100"/>
        <c:noMultiLvlLbl val="0"/>
      </c:catAx>
      <c:valAx>
        <c:axId val="4380006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437985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2005 &amp; 2010</a:t>
            </a:r>
          </a:p>
          <a:p>
            <a:pPr>
              <a:defRPr/>
            </a:pPr>
            <a:r>
              <a:rPr lang="en-US" sz="1600"/>
              <a:t>First-Year</a:t>
            </a:r>
            <a:r>
              <a:rPr lang="en-US" sz="1600" baseline="0"/>
              <a:t> Retention Comparison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Sheet3!$Q$21</c:f>
              <c:strCache>
                <c:ptCount val="1"/>
                <c:pt idx="0">
                  <c:v>2005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1111111111111112E-2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Sheet3!$P$22:$P$26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Sheet3!$Q$22:$Q$26</c:f>
              <c:numCache>
                <c:formatCode>0%</c:formatCode>
                <c:ptCount val="5"/>
                <c:pt idx="0">
                  <c:v>0.83</c:v>
                </c:pt>
                <c:pt idx="1">
                  <c:v>0.71899999999999997</c:v>
                </c:pt>
                <c:pt idx="2">
                  <c:v>0.60899999999999999</c:v>
                </c:pt>
                <c:pt idx="3">
                  <c:v>0.56200000000000006</c:v>
                </c:pt>
                <c:pt idx="4">
                  <c:v>0.621</c:v>
                </c:pt>
              </c:numCache>
            </c:numRef>
          </c:val>
        </c:ser>
        <c:ser>
          <c:idx val="1"/>
          <c:order val="1"/>
          <c:tx>
            <c:strRef>
              <c:f>Sheet3!$R$21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1"/>
              <c:layout>
                <c:manualLayout>
                  <c:x val="8.3333333333333332E-3"/>
                  <c:y val="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38888888888889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3333333333332E-3"/>
                  <c:y val="-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333333333333332E-3"/>
                  <c:y val="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Sheet3!$P$22:$P$26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Sheet3!$R$22:$R$26</c:f>
              <c:numCache>
                <c:formatCode>0%</c:formatCode>
                <c:ptCount val="5"/>
                <c:pt idx="0">
                  <c:v>0.83499999999999996</c:v>
                </c:pt>
                <c:pt idx="1">
                  <c:v>0.71299999999999997</c:v>
                </c:pt>
                <c:pt idx="2">
                  <c:v>0.625</c:v>
                </c:pt>
                <c:pt idx="3">
                  <c:v>0.57799999999999996</c:v>
                </c:pt>
                <c:pt idx="4">
                  <c:v>0.60199999999999998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949056"/>
        <c:axId val="44077824"/>
      </c:barChart>
      <c:catAx>
        <c:axId val="43949056"/>
        <c:scaling>
          <c:orientation val="minMax"/>
        </c:scaling>
        <c:delete val="0"/>
        <c:axPos val="b"/>
        <c:majorTickMark val="out"/>
        <c:minorTickMark val="none"/>
        <c:tickLblPos val="nextTo"/>
        <c:crossAx val="44077824"/>
        <c:crosses val="autoZero"/>
        <c:auto val="1"/>
        <c:lblAlgn val="ctr"/>
        <c:lblOffset val="100"/>
        <c:noMultiLvlLbl val="0"/>
      </c:catAx>
      <c:valAx>
        <c:axId val="44077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9490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2004 &amp; 2005 Cohort</a:t>
            </a:r>
          </a:p>
          <a:p>
            <a:pPr>
              <a:defRPr/>
            </a:pPr>
            <a:r>
              <a:rPr lang="en-US" sz="1600"/>
              <a:t>6-Year Graduation Rate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Sheet3!$Q$39</c:f>
              <c:strCache>
                <c:ptCount val="1"/>
                <c:pt idx="0">
                  <c:v>2004-2010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Sheet3!$P$40:$P$44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Sheet3!$Q$40:$Q$44</c:f>
              <c:numCache>
                <c:formatCode>0%</c:formatCode>
                <c:ptCount val="5"/>
                <c:pt idx="0">
                  <c:v>0.57999999999999996</c:v>
                </c:pt>
                <c:pt idx="1">
                  <c:v>0.35</c:v>
                </c:pt>
                <c:pt idx="2">
                  <c:v>0.21</c:v>
                </c:pt>
                <c:pt idx="3">
                  <c:v>0.3</c:v>
                </c:pt>
                <c:pt idx="4">
                  <c:v>0.34</c:v>
                </c:pt>
              </c:numCache>
            </c:numRef>
          </c:val>
        </c:ser>
        <c:ser>
          <c:idx val="1"/>
          <c:order val="1"/>
          <c:tx>
            <c:strRef>
              <c:f>Sheet3!$R$39</c:f>
              <c:strCache>
                <c:ptCount val="1"/>
                <c:pt idx="0">
                  <c:v>2005-2011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3"/>
              <c:layout>
                <c:manualLayout>
                  <c:x val="1.3888888888888888E-2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666666666666666E-2"/>
                  <c:y val="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Sheet3!$P$40:$P$44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Sheet3!$R$40:$R$44</c:f>
              <c:numCache>
                <c:formatCode>0%</c:formatCode>
                <c:ptCount val="5"/>
                <c:pt idx="0">
                  <c:v>0.59</c:v>
                </c:pt>
                <c:pt idx="1">
                  <c:v>0.4</c:v>
                </c:pt>
                <c:pt idx="2">
                  <c:v>0.25</c:v>
                </c:pt>
                <c:pt idx="3">
                  <c:v>0.3</c:v>
                </c:pt>
                <c:pt idx="4">
                  <c:v>0.33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158976"/>
        <c:axId val="44179456"/>
      </c:barChart>
      <c:catAx>
        <c:axId val="44158976"/>
        <c:scaling>
          <c:orientation val="minMax"/>
        </c:scaling>
        <c:delete val="0"/>
        <c:axPos val="b"/>
        <c:majorTickMark val="out"/>
        <c:minorTickMark val="none"/>
        <c:tickLblPos val="nextTo"/>
        <c:crossAx val="44179456"/>
        <c:crosses val="autoZero"/>
        <c:auto val="1"/>
        <c:lblAlgn val="ctr"/>
        <c:lblOffset val="100"/>
        <c:noMultiLvlLbl val="0"/>
      </c:catAx>
      <c:valAx>
        <c:axId val="44179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41589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5BE5-7BE1-4E2B-A293-A4E2A8AC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Plummer</dc:creator>
  <cp:lastModifiedBy>Amy Plummer</cp:lastModifiedBy>
  <cp:revision>9</cp:revision>
  <cp:lastPrinted>2012-07-24T12:46:00Z</cp:lastPrinted>
  <dcterms:created xsi:type="dcterms:W3CDTF">2012-07-23T17:58:00Z</dcterms:created>
  <dcterms:modified xsi:type="dcterms:W3CDTF">2012-07-24T13:18:00Z</dcterms:modified>
</cp:coreProperties>
</file>