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XML/itemProps.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8E652" w14:textId="77777777" w:rsidR="00771677" w:rsidRPr="00771677" w:rsidRDefault="00771677" w:rsidP="00771677">
      <w:pPr>
        <w:suppressAutoHyphens/>
        <w:spacing w:line="240" w:lineRule="auto"/>
        <w:jc w:val="center"/>
        <w:rPr>
          <w:b/>
          <w:szCs w:val="24"/>
        </w:rPr>
      </w:pPr>
      <w:r w:rsidRPr="00771677">
        <w:rPr>
          <w:b/>
          <w:szCs w:val="24"/>
        </w:rPr>
        <w:t>CONTINUING DISCLOSURE AGREEMENT</w:t>
      </w:r>
    </w:p>
    <w:p w14:paraId="6228A27E" w14:textId="469DFBDF" w:rsidR="00771677" w:rsidRPr="00771677" w:rsidRDefault="00771677" w:rsidP="00771677">
      <w:pPr>
        <w:suppressAutoHyphens/>
        <w:spacing w:line="240" w:lineRule="auto"/>
        <w:ind w:firstLine="360"/>
        <w:jc w:val="both"/>
        <w:rPr>
          <w:szCs w:val="24"/>
        </w:rPr>
      </w:pPr>
      <w:r w:rsidRPr="00771677">
        <w:rPr>
          <w:szCs w:val="24"/>
        </w:rPr>
        <w:t xml:space="preserve">This Continuing Disclosure Agreement dated as of ___________, </w:t>
      </w:r>
      <w:r w:rsidRPr="00771677">
        <w:rPr>
          <w:szCs w:val="24"/>
        </w:rPr>
        <w:t>2026</w:t>
      </w:r>
      <w:r w:rsidRPr="00771677">
        <w:rPr>
          <w:szCs w:val="24"/>
        </w:rPr>
        <w:t xml:space="preserve"> (the “Agreement”) is executed and delivered by the Board of Trustees of Southern Arkansas University (the “Board”) and Community First Trust</w:t>
      </w:r>
      <w:r w:rsidR="00AA74F4">
        <w:rPr>
          <w:szCs w:val="24"/>
        </w:rPr>
        <w:t>, Hot Springs, Arkansas</w:t>
      </w:r>
      <w:r w:rsidRPr="00771677">
        <w:rPr>
          <w:szCs w:val="24"/>
        </w:rPr>
        <w:t xml:space="preserve">, as Trustee (the “Trustee”), in connection with the issuance by the Board of its $______________ Auxiliary Enterprises Secured Refunding Bonds, Series </w:t>
      </w:r>
      <w:r w:rsidRPr="00771677">
        <w:rPr>
          <w:szCs w:val="24"/>
        </w:rPr>
        <w:t>2026</w:t>
      </w:r>
      <w:r w:rsidRPr="00771677">
        <w:rPr>
          <w:szCs w:val="24"/>
        </w:rPr>
        <w:t xml:space="preserve"> (the “Series </w:t>
      </w:r>
      <w:r w:rsidRPr="00771677">
        <w:rPr>
          <w:szCs w:val="24"/>
        </w:rPr>
        <w:t>2026</w:t>
      </w:r>
      <w:r w:rsidRPr="00771677">
        <w:rPr>
          <w:szCs w:val="24"/>
        </w:rPr>
        <w:t xml:space="preserve"> Bonds”</w:t>
      </w:r>
      <w:r w:rsidR="00AA74F4">
        <w:rPr>
          <w:szCs w:val="24"/>
        </w:rPr>
        <w:t xml:space="preserve"> or the “Bonds”</w:t>
      </w:r>
      <w:r w:rsidRPr="00771677">
        <w:rPr>
          <w:szCs w:val="24"/>
        </w:rPr>
        <w:t xml:space="preserve">). The Series </w:t>
      </w:r>
      <w:r w:rsidRPr="00771677">
        <w:rPr>
          <w:szCs w:val="24"/>
        </w:rPr>
        <w:t>2026</w:t>
      </w:r>
      <w:r w:rsidRPr="00771677">
        <w:rPr>
          <w:szCs w:val="24"/>
        </w:rPr>
        <w:t xml:space="preserve"> Bonds are being issued pursuant to a Trust Indenture (the “Indenture”), between the Board and the Trustee. Pursuant to Rule 15c2-12(b)(5) (17 C.F.R. § 240.15c2-12) (the “Rule”) adopted by the Securities and Exchange Commission (the “SEC”) under the Securities Exchange Act of 1934, as amended (the “1934 Act”), the Board and the Trustee covenant and agree as follows:</w:t>
      </w:r>
    </w:p>
    <w:p w14:paraId="4BEE9949" w14:textId="77777777" w:rsidR="00771677" w:rsidRPr="00771677" w:rsidRDefault="00771677" w:rsidP="00771677">
      <w:pPr>
        <w:suppressAutoHyphens/>
        <w:spacing w:line="240" w:lineRule="auto"/>
        <w:ind w:firstLine="360"/>
        <w:jc w:val="both"/>
        <w:rPr>
          <w:szCs w:val="24"/>
        </w:rPr>
      </w:pPr>
      <w:r w:rsidRPr="00771677">
        <w:rPr>
          <w:b/>
          <w:szCs w:val="24"/>
        </w:rPr>
        <w:t>Section 1. Definitions</w:t>
      </w:r>
      <w:r w:rsidRPr="00771677">
        <w:rPr>
          <w:szCs w:val="24"/>
        </w:rPr>
        <w:t>. In addition to the definitions set forth in the first paragraph of this Agreement and in the Indenture, which apply to any capitalized term used in this Agreement unless otherwise defined in this Section, the following capitalized terms shall have the following meanings:</w:t>
      </w:r>
    </w:p>
    <w:p w14:paraId="1B7B535F" w14:textId="77777777" w:rsidR="00771677" w:rsidRPr="00771677" w:rsidRDefault="00771677" w:rsidP="00771677">
      <w:pPr>
        <w:suppressAutoHyphens/>
        <w:spacing w:line="240" w:lineRule="auto"/>
        <w:ind w:firstLine="360"/>
        <w:jc w:val="both"/>
        <w:rPr>
          <w:szCs w:val="24"/>
        </w:rPr>
      </w:pPr>
      <w:r w:rsidRPr="00771677">
        <w:rPr>
          <w:szCs w:val="24"/>
        </w:rPr>
        <w:t>“Annual Report” means the Annual Report provided by the Board, as described hereinafter under the subheading “Provision of Annual Reports.”</w:t>
      </w:r>
    </w:p>
    <w:p w14:paraId="653A32C9" w14:textId="77777777" w:rsidR="00771677" w:rsidRPr="00771677" w:rsidRDefault="00771677" w:rsidP="00771677">
      <w:pPr>
        <w:suppressAutoHyphens/>
        <w:spacing w:line="240" w:lineRule="auto"/>
        <w:ind w:firstLine="360"/>
        <w:jc w:val="both"/>
        <w:rPr>
          <w:szCs w:val="24"/>
        </w:rPr>
      </w:pPr>
      <w:r w:rsidRPr="00771677">
        <w:rPr>
          <w:szCs w:val="24"/>
        </w:rPr>
        <w:t xml:space="preserve"> “Beneficial Owner” means any person who has the power, directly or indirectly, to vote or consent with respect to, or to dispose of ownership of, any Bonds (including persons holding Bonds through nominees, depositories, or other intermediaries) or is treated as the owner of any Bonds for federal income tax purposes.</w:t>
      </w:r>
    </w:p>
    <w:p w14:paraId="04BB299B" w14:textId="77777777" w:rsidR="00771677" w:rsidRPr="00771677" w:rsidRDefault="00771677" w:rsidP="00771677">
      <w:pPr>
        <w:suppressAutoHyphens/>
        <w:spacing w:line="240" w:lineRule="auto"/>
        <w:ind w:firstLine="360"/>
        <w:jc w:val="both"/>
        <w:rPr>
          <w:szCs w:val="24"/>
        </w:rPr>
      </w:pPr>
      <w:r w:rsidRPr="00771677">
        <w:rPr>
          <w:szCs w:val="24"/>
        </w:rPr>
        <w:t>“Dissemination Agent” means the Trustee, acting in its capacity as Dissemination Agent hereunder, or any successor Dissemination Agent designated in writing by the Board and which has filed a written acceptance of such designation with the Trustee.</w:t>
      </w:r>
    </w:p>
    <w:p w14:paraId="1B37D7F5" w14:textId="77777777" w:rsidR="00771677" w:rsidRPr="00771677" w:rsidRDefault="00771677" w:rsidP="00771677">
      <w:pPr>
        <w:suppressAutoHyphens/>
        <w:spacing w:line="240" w:lineRule="auto"/>
        <w:ind w:firstLine="360"/>
        <w:jc w:val="both"/>
        <w:rPr>
          <w:szCs w:val="24"/>
        </w:rPr>
      </w:pPr>
      <w:r w:rsidRPr="00771677">
        <w:rPr>
          <w:szCs w:val="24"/>
        </w:rPr>
        <w:t>“EMMA” means the Electronic Municipal Market Access system as described in 1934 Act Release No. 59062 and maintained by the MSRB for purposes of the Rule.</w:t>
      </w:r>
    </w:p>
    <w:p w14:paraId="486491C5" w14:textId="55AD72F9" w:rsidR="00771677" w:rsidRPr="00771677" w:rsidRDefault="00771677" w:rsidP="00771677">
      <w:pPr>
        <w:suppressAutoHyphens/>
        <w:spacing w:line="240" w:lineRule="auto"/>
        <w:ind w:firstLine="360"/>
        <w:jc w:val="both"/>
        <w:rPr>
          <w:szCs w:val="24"/>
        </w:rPr>
      </w:pPr>
      <w:r w:rsidRPr="00771677">
        <w:rPr>
          <w:szCs w:val="24"/>
        </w:rPr>
        <w:t>“Financial Obligation” means a (i) debt obligation, (ii)derivative instrument entered into in connection with, or pledged as security or a source of payment for, an existing or planned debt obligation, or (iii) guarantee of (i) or (ii). The term Financial Obligation does not include municipal securities as to which a final official statement has been otherwise provided to the MSRB consistent with Rule 15c2-12.</w:t>
      </w:r>
    </w:p>
    <w:p w14:paraId="5538FC25" w14:textId="77777777" w:rsidR="00771677" w:rsidRPr="00771677" w:rsidRDefault="00771677" w:rsidP="00771677">
      <w:pPr>
        <w:suppressAutoHyphens/>
        <w:spacing w:line="240" w:lineRule="auto"/>
        <w:ind w:firstLine="360"/>
        <w:jc w:val="both"/>
        <w:rPr>
          <w:szCs w:val="24"/>
        </w:rPr>
      </w:pPr>
      <w:r w:rsidRPr="00771677">
        <w:rPr>
          <w:szCs w:val="24"/>
        </w:rPr>
        <w:t>“Fiscal Year” means any period of 12 consecutive months adopted by the Board as its fiscal year for financial reporting purposes.</w:t>
      </w:r>
    </w:p>
    <w:p w14:paraId="062DFF85" w14:textId="77777777" w:rsidR="00771677" w:rsidRPr="00771677" w:rsidRDefault="00771677" w:rsidP="00771677">
      <w:pPr>
        <w:suppressAutoHyphens/>
        <w:spacing w:line="240" w:lineRule="auto"/>
        <w:ind w:firstLine="360"/>
        <w:jc w:val="both"/>
        <w:rPr>
          <w:szCs w:val="24"/>
        </w:rPr>
      </w:pPr>
      <w:r w:rsidRPr="00771677">
        <w:rPr>
          <w:szCs w:val="24"/>
        </w:rPr>
        <w:t>“GAAP” means generally accepted accounting principles.</w:t>
      </w:r>
    </w:p>
    <w:p w14:paraId="2DB05042" w14:textId="77777777" w:rsidR="00771677" w:rsidRPr="00771677" w:rsidRDefault="00771677" w:rsidP="00771677">
      <w:pPr>
        <w:suppressAutoHyphens/>
        <w:spacing w:line="240" w:lineRule="auto"/>
        <w:ind w:firstLine="360"/>
        <w:jc w:val="both"/>
        <w:rPr>
          <w:szCs w:val="24"/>
        </w:rPr>
      </w:pPr>
      <w:r w:rsidRPr="00771677">
        <w:rPr>
          <w:szCs w:val="24"/>
        </w:rPr>
        <w:t>“GASB” means the Governmental Accounting Standards Board.</w:t>
      </w:r>
    </w:p>
    <w:p w14:paraId="6003BDA1" w14:textId="77777777" w:rsidR="00771677" w:rsidRPr="00771677" w:rsidRDefault="00771677" w:rsidP="00771677">
      <w:pPr>
        <w:suppressAutoHyphens/>
        <w:spacing w:line="240" w:lineRule="auto"/>
        <w:ind w:firstLine="360"/>
        <w:jc w:val="both"/>
        <w:rPr>
          <w:szCs w:val="24"/>
        </w:rPr>
      </w:pPr>
      <w:r w:rsidRPr="00771677">
        <w:rPr>
          <w:szCs w:val="24"/>
        </w:rPr>
        <w:t>“Listed Event” means any of the following events with respect to the Bonds:</w:t>
      </w:r>
    </w:p>
    <w:p w14:paraId="0A8EB889" w14:textId="77777777" w:rsidR="00771677" w:rsidRPr="00771677" w:rsidRDefault="00771677" w:rsidP="00771677">
      <w:pPr>
        <w:tabs>
          <w:tab w:val="left" w:pos="900"/>
        </w:tabs>
        <w:suppressAutoHyphens/>
        <w:spacing w:line="240" w:lineRule="auto"/>
        <w:ind w:left="1260" w:hanging="540"/>
        <w:contextualSpacing/>
        <w:jc w:val="both"/>
        <w:rPr>
          <w:szCs w:val="24"/>
        </w:rPr>
      </w:pPr>
      <w:r w:rsidRPr="00771677">
        <w:rPr>
          <w:szCs w:val="24"/>
        </w:rPr>
        <w:t>(i)</w:t>
      </w:r>
      <w:r w:rsidRPr="00771677">
        <w:rPr>
          <w:szCs w:val="24"/>
        </w:rPr>
        <w:tab/>
        <w:t>principal and interest payment delinquencies;</w:t>
      </w:r>
    </w:p>
    <w:p w14:paraId="204A1A97" w14:textId="77777777" w:rsidR="00771677" w:rsidRPr="00771677" w:rsidRDefault="00771677" w:rsidP="00771677">
      <w:pPr>
        <w:tabs>
          <w:tab w:val="left" w:pos="900"/>
        </w:tabs>
        <w:suppressAutoHyphens/>
        <w:spacing w:line="240" w:lineRule="auto"/>
        <w:ind w:left="1260" w:hanging="540"/>
        <w:contextualSpacing/>
        <w:jc w:val="both"/>
        <w:rPr>
          <w:szCs w:val="24"/>
        </w:rPr>
      </w:pPr>
      <w:r w:rsidRPr="00771677">
        <w:rPr>
          <w:szCs w:val="24"/>
        </w:rPr>
        <w:t>(ii)</w:t>
      </w:r>
      <w:r w:rsidRPr="00771677">
        <w:rPr>
          <w:szCs w:val="24"/>
        </w:rPr>
        <w:tab/>
        <w:t>non-payment related defaults, if material;</w:t>
      </w:r>
    </w:p>
    <w:p w14:paraId="55EADCE2" w14:textId="77777777" w:rsidR="00771677" w:rsidRPr="00771677" w:rsidRDefault="00771677" w:rsidP="00771677">
      <w:pPr>
        <w:tabs>
          <w:tab w:val="left" w:pos="900"/>
        </w:tabs>
        <w:suppressAutoHyphens/>
        <w:spacing w:line="240" w:lineRule="auto"/>
        <w:ind w:left="1260" w:hanging="540"/>
        <w:contextualSpacing/>
        <w:jc w:val="both"/>
        <w:rPr>
          <w:szCs w:val="24"/>
        </w:rPr>
      </w:pPr>
      <w:r w:rsidRPr="00771677">
        <w:rPr>
          <w:szCs w:val="24"/>
        </w:rPr>
        <w:lastRenderedPageBreak/>
        <w:t>(iii)</w:t>
      </w:r>
      <w:r w:rsidRPr="00771677">
        <w:rPr>
          <w:szCs w:val="24"/>
        </w:rPr>
        <w:tab/>
        <w:t>unscheduled draws on debt service reserves reflecting financial difficulties;</w:t>
      </w:r>
    </w:p>
    <w:p w14:paraId="2E28B5A0" w14:textId="77777777" w:rsidR="00771677" w:rsidRPr="00771677" w:rsidRDefault="00771677" w:rsidP="00771677">
      <w:pPr>
        <w:tabs>
          <w:tab w:val="left" w:pos="900"/>
        </w:tabs>
        <w:suppressAutoHyphens/>
        <w:spacing w:line="240" w:lineRule="auto"/>
        <w:ind w:left="1260" w:hanging="540"/>
        <w:contextualSpacing/>
        <w:jc w:val="both"/>
        <w:rPr>
          <w:szCs w:val="24"/>
        </w:rPr>
      </w:pPr>
      <w:r w:rsidRPr="00771677">
        <w:rPr>
          <w:szCs w:val="24"/>
        </w:rPr>
        <w:t>(iv)</w:t>
      </w:r>
      <w:r w:rsidRPr="00771677">
        <w:rPr>
          <w:szCs w:val="24"/>
        </w:rPr>
        <w:tab/>
        <w:t>unscheduled draws on credit enhancements reflecting financial difficulties;</w:t>
      </w:r>
    </w:p>
    <w:p w14:paraId="6ACC87B3" w14:textId="77777777" w:rsidR="00771677" w:rsidRPr="00771677" w:rsidRDefault="00771677" w:rsidP="00771677">
      <w:pPr>
        <w:tabs>
          <w:tab w:val="left" w:pos="900"/>
        </w:tabs>
        <w:suppressAutoHyphens/>
        <w:spacing w:line="240" w:lineRule="auto"/>
        <w:ind w:left="1260" w:hanging="540"/>
        <w:contextualSpacing/>
        <w:jc w:val="both"/>
        <w:rPr>
          <w:szCs w:val="24"/>
        </w:rPr>
      </w:pPr>
      <w:r w:rsidRPr="00771677">
        <w:rPr>
          <w:szCs w:val="24"/>
        </w:rPr>
        <w:t>(v)</w:t>
      </w:r>
      <w:r w:rsidRPr="00771677">
        <w:rPr>
          <w:szCs w:val="24"/>
        </w:rPr>
        <w:tab/>
        <w:t>substitution of credit or liquidity providers, or their failure to perform;</w:t>
      </w:r>
    </w:p>
    <w:p w14:paraId="437ED04B" w14:textId="77777777" w:rsidR="00771677" w:rsidRPr="00771677" w:rsidRDefault="00771677" w:rsidP="00771677">
      <w:pPr>
        <w:tabs>
          <w:tab w:val="left" w:pos="900"/>
        </w:tabs>
        <w:suppressAutoHyphens/>
        <w:spacing w:line="240" w:lineRule="auto"/>
        <w:ind w:left="1260" w:hanging="540"/>
        <w:contextualSpacing/>
        <w:jc w:val="both"/>
        <w:rPr>
          <w:szCs w:val="24"/>
        </w:rPr>
      </w:pPr>
      <w:r w:rsidRPr="00771677">
        <w:rPr>
          <w:szCs w:val="24"/>
        </w:rPr>
        <w:t>(vi)</w:t>
      </w:r>
      <w:r w:rsidRPr="00771677">
        <w:rPr>
          <w:szCs w:val="24"/>
        </w:rPr>
        <w:tab/>
        <w:t>adverse tax opinions, the issuance by the Internal Revenue Service of proposed or final determinations of taxability, Notice of Proposed Issue (IRS Form 5701-TEB), or other material notices or determinations with respect to the tax status of the security, or other material events affecting the tax status of the security;</w:t>
      </w:r>
    </w:p>
    <w:p w14:paraId="7309A73B" w14:textId="77777777" w:rsidR="00771677" w:rsidRPr="00771677" w:rsidRDefault="00771677" w:rsidP="00771677">
      <w:pPr>
        <w:tabs>
          <w:tab w:val="left" w:pos="900"/>
        </w:tabs>
        <w:suppressAutoHyphens/>
        <w:spacing w:line="240" w:lineRule="auto"/>
        <w:ind w:left="1260" w:hanging="540"/>
        <w:contextualSpacing/>
        <w:jc w:val="both"/>
        <w:rPr>
          <w:szCs w:val="24"/>
        </w:rPr>
      </w:pPr>
      <w:r w:rsidRPr="00771677">
        <w:rPr>
          <w:szCs w:val="24"/>
        </w:rPr>
        <w:t>(vii)</w:t>
      </w:r>
      <w:r w:rsidRPr="00771677">
        <w:rPr>
          <w:szCs w:val="24"/>
        </w:rPr>
        <w:tab/>
        <w:t>modifications to rights of security holders, if material;</w:t>
      </w:r>
    </w:p>
    <w:p w14:paraId="54618868" w14:textId="77777777" w:rsidR="00771677" w:rsidRPr="00771677" w:rsidRDefault="00771677" w:rsidP="00771677">
      <w:pPr>
        <w:tabs>
          <w:tab w:val="left" w:pos="900"/>
        </w:tabs>
        <w:suppressAutoHyphens/>
        <w:spacing w:line="240" w:lineRule="auto"/>
        <w:ind w:left="1260" w:hanging="540"/>
        <w:contextualSpacing/>
        <w:jc w:val="both"/>
        <w:rPr>
          <w:szCs w:val="24"/>
        </w:rPr>
      </w:pPr>
      <w:r w:rsidRPr="00771677">
        <w:rPr>
          <w:szCs w:val="24"/>
        </w:rPr>
        <w:t>(viii)</w:t>
      </w:r>
      <w:r w:rsidRPr="00771677">
        <w:rPr>
          <w:szCs w:val="24"/>
        </w:rPr>
        <w:tab/>
        <w:t>bond calls (other than mandatory sinking fund redemptions, if any), if material, and tender offers;</w:t>
      </w:r>
    </w:p>
    <w:p w14:paraId="3CBACEEE" w14:textId="77777777" w:rsidR="00771677" w:rsidRPr="00771677" w:rsidRDefault="00771677" w:rsidP="00771677">
      <w:pPr>
        <w:tabs>
          <w:tab w:val="left" w:pos="900"/>
        </w:tabs>
        <w:suppressAutoHyphens/>
        <w:spacing w:line="240" w:lineRule="auto"/>
        <w:ind w:left="1260" w:hanging="540"/>
        <w:contextualSpacing/>
        <w:jc w:val="both"/>
        <w:rPr>
          <w:szCs w:val="24"/>
        </w:rPr>
      </w:pPr>
      <w:r w:rsidRPr="00771677">
        <w:rPr>
          <w:szCs w:val="24"/>
        </w:rPr>
        <w:t>(ix)</w:t>
      </w:r>
      <w:r w:rsidRPr="00771677">
        <w:rPr>
          <w:szCs w:val="24"/>
        </w:rPr>
        <w:tab/>
        <w:t>defeasances;</w:t>
      </w:r>
    </w:p>
    <w:p w14:paraId="65A14F6F" w14:textId="77777777" w:rsidR="00771677" w:rsidRPr="00771677" w:rsidRDefault="00771677" w:rsidP="00771677">
      <w:pPr>
        <w:tabs>
          <w:tab w:val="left" w:pos="900"/>
        </w:tabs>
        <w:suppressAutoHyphens/>
        <w:spacing w:line="240" w:lineRule="auto"/>
        <w:ind w:left="1260" w:hanging="540"/>
        <w:contextualSpacing/>
        <w:jc w:val="both"/>
        <w:rPr>
          <w:szCs w:val="24"/>
        </w:rPr>
      </w:pPr>
      <w:r w:rsidRPr="00771677">
        <w:rPr>
          <w:szCs w:val="24"/>
        </w:rPr>
        <w:t>(x)</w:t>
      </w:r>
      <w:r w:rsidRPr="00771677">
        <w:rPr>
          <w:szCs w:val="24"/>
        </w:rPr>
        <w:tab/>
        <w:t>release, substitution, or sale of property securing repayment of the securities, if material;</w:t>
      </w:r>
    </w:p>
    <w:p w14:paraId="78714065" w14:textId="77777777" w:rsidR="00771677" w:rsidRPr="00771677" w:rsidRDefault="00771677" w:rsidP="00771677">
      <w:pPr>
        <w:tabs>
          <w:tab w:val="left" w:pos="900"/>
        </w:tabs>
        <w:suppressAutoHyphens/>
        <w:spacing w:line="240" w:lineRule="auto"/>
        <w:ind w:left="1260" w:hanging="540"/>
        <w:contextualSpacing/>
        <w:jc w:val="both"/>
        <w:rPr>
          <w:szCs w:val="24"/>
        </w:rPr>
      </w:pPr>
      <w:r w:rsidRPr="00771677">
        <w:rPr>
          <w:szCs w:val="24"/>
        </w:rPr>
        <w:t>(xi)</w:t>
      </w:r>
      <w:r w:rsidRPr="00771677">
        <w:rPr>
          <w:szCs w:val="24"/>
        </w:rPr>
        <w:tab/>
        <w:t>rating changes;</w:t>
      </w:r>
    </w:p>
    <w:p w14:paraId="2BC05230" w14:textId="77777777" w:rsidR="00771677" w:rsidRPr="00771677" w:rsidRDefault="00771677" w:rsidP="00771677">
      <w:pPr>
        <w:tabs>
          <w:tab w:val="left" w:pos="900"/>
        </w:tabs>
        <w:suppressAutoHyphens/>
        <w:spacing w:line="240" w:lineRule="auto"/>
        <w:ind w:left="1260" w:hanging="540"/>
        <w:contextualSpacing/>
        <w:jc w:val="both"/>
        <w:rPr>
          <w:szCs w:val="24"/>
        </w:rPr>
      </w:pPr>
      <w:r w:rsidRPr="00771677">
        <w:rPr>
          <w:szCs w:val="24"/>
        </w:rPr>
        <w:t>(xii)</w:t>
      </w:r>
      <w:r w:rsidRPr="00771677">
        <w:rPr>
          <w:szCs w:val="24"/>
        </w:rPr>
        <w:tab/>
        <w:t>bankruptcy, insolvency, receivership, or similar event of the obligated person;</w:t>
      </w:r>
    </w:p>
    <w:p w14:paraId="0C1DB9B5" w14:textId="77777777" w:rsidR="00771677" w:rsidRPr="00771677" w:rsidRDefault="00771677" w:rsidP="00771677">
      <w:pPr>
        <w:tabs>
          <w:tab w:val="left" w:pos="900"/>
        </w:tabs>
        <w:suppressAutoHyphens/>
        <w:spacing w:line="240" w:lineRule="auto"/>
        <w:ind w:left="1260" w:hanging="540"/>
        <w:contextualSpacing/>
        <w:jc w:val="both"/>
        <w:rPr>
          <w:szCs w:val="24"/>
        </w:rPr>
      </w:pPr>
      <w:r w:rsidRPr="00771677">
        <w:rPr>
          <w:szCs w:val="24"/>
        </w:rPr>
        <w:t>(xiii)</w:t>
      </w:r>
      <w:r w:rsidRPr="00771677">
        <w:rPr>
          <w:szCs w:val="24"/>
        </w:rPr>
        <w:tab/>
        <w:t>the consummation of a merger, consolidation, or acquisition involving an obligated person or the sale of all or substantially all of the assets of the obligated person, other than in the ordinary course of business, the entry into a definitive agreement to undertake such an action, or the termination of a definitive agreement relating to any such actions, other than pursuant to its terms, if material;</w:t>
      </w:r>
    </w:p>
    <w:p w14:paraId="6B6A060E" w14:textId="77777777" w:rsidR="00771677" w:rsidRPr="00771677" w:rsidRDefault="00771677" w:rsidP="00771677">
      <w:pPr>
        <w:tabs>
          <w:tab w:val="left" w:pos="900"/>
        </w:tabs>
        <w:suppressAutoHyphens/>
        <w:spacing w:line="240" w:lineRule="auto"/>
        <w:ind w:left="1260" w:hanging="540"/>
        <w:contextualSpacing/>
        <w:jc w:val="both"/>
        <w:rPr>
          <w:szCs w:val="24"/>
        </w:rPr>
      </w:pPr>
      <w:r w:rsidRPr="00771677">
        <w:rPr>
          <w:szCs w:val="24"/>
        </w:rPr>
        <w:t>(xiv)</w:t>
      </w:r>
      <w:r w:rsidRPr="00771677">
        <w:rPr>
          <w:szCs w:val="24"/>
        </w:rPr>
        <w:tab/>
        <w:t>appointment of a successor or additional trustee or the change of name of a trustee, if material;</w:t>
      </w:r>
    </w:p>
    <w:p w14:paraId="5D7734DB" w14:textId="77777777" w:rsidR="00771677" w:rsidRPr="00771677" w:rsidRDefault="00771677" w:rsidP="00771677">
      <w:pPr>
        <w:tabs>
          <w:tab w:val="left" w:pos="900"/>
        </w:tabs>
        <w:suppressAutoHyphens/>
        <w:spacing w:after="0" w:line="240" w:lineRule="auto"/>
        <w:ind w:left="1267" w:hanging="547"/>
        <w:jc w:val="both"/>
        <w:rPr>
          <w:szCs w:val="24"/>
        </w:rPr>
      </w:pPr>
      <w:r w:rsidRPr="00771677">
        <w:rPr>
          <w:szCs w:val="24"/>
        </w:rPr>
        <w:t>(xv)</w:t>
      </w:r>
      <w:r w:rsidRPr="00771677">
        <w:rPr>
          <w:szCs w:val="24"/>
        </w:rPr>
        <w:tab/>
        <w:t>incurrence of a financial obligation of the obligated person, if material, or agreement to covenants, events of default, remedies, priority rights, or other similar terms of a financial obligation of the obligated person, any of which affect security holders, if material; and</w:t>
      </w:r>
    </w:p>
    <w:p w14:paraId="41339372" w14:textId="77777777" w:rsidR="00771677" w:rsidRPr="00771677" w:rsidRDefault="00771677" w:rsidP="00771677">
      <w:pPr>
        <w:tabs>
          <w:tab w:val="left" w:pos="900"/>
        </w:tabs>
        <w:suppressAutoHyphens/>
        <w:spacing w:after="0" w:line="240" w:lineRule="auto"/>
        <w:ind w:left="1267" w:hanging="547"/>
        <w:jc w:val="both"/>
        <w:rPr>
          <w:szCs w:val="24"/>
        </w:rPr>
      </w:pPr>
      <w:r w:rsidRPr="00771677">
        <w:rPr>
          <w:szCs w:val="24"/>
        </w:rPr>
        <w:t>(xvi)</w:t>
      </w:r>
      <w:r w:rsidRPr="00771677">
        <w:rPr>
          <w:szCs w:val="24"/>
        </w:rPr>
        <w:tab/>
        <w:t>default, event of acceleration, termination event, modification of terms, or other similar events under the terms of a financial obligation of the obligated person, any of which reflect financial difficulties.</w:t>
      </w:r>
    </w:p>
    <w:p w14:paraId="72AC46BD" w14:textId="77777777" w:rsidR="00771677" w:rsidRPr="00771677" w:rsidRDefault="00771677" w:rsidP="00771677">
      <w:pPr>
        <w:tabs>
          <w:tab w:val="left" w:pos="900"/>
        </w:tabs>
        <w:suppressAutoHyphens/>
        <w:spacing w:after="0" w:line="240" w:lineRule="auto"/>
        <w:ind w:left="1267" w:hanging="547"/>
        <w:jc w:val="both"/>
        <w:rPr>
          <w:szCs w:val="24"/>
        </w:rPr>
      </w:pPr>
    </w:p>
    <w:p w14:paraId="5622C80E" w14:textId="77777777" w:rsidR="00771677" w:rsidRPr="00771677" w:rsidRDefault="00771677" w:rsidP="00771677">
      <w:pPr>
        <w:suppressAutoHyphens/>
        <w:spacing w:line="240" w:lineRule="auto"/>
        <w:ind w:firstLine="360"/>
        <w:jc w:val="both"/>
        <w:rPr>
          <w:szCs w:val="24"/>
        </w:rPr>
      </w:pPr>
      <w:r w:rsidRPr="00771677">
        <w:rPr>
          <w:szCs w:val="24"/>
        </w:rPr>
        <w:t>“Listed Event Notice” means notice of a Listed Event.</w:t>
      </w:r>
    </w:p>
    <w:p w14:paraId="0F61A39F" w14:textId="77777777" w:rsidR="00771677" w:rsidRPr="00771677" w:rsidRDefault="00771677" w:rsidP="00771677">
      <w:pPr>
        <w:suppressAutoHyphens/>
        <w:spacing w:line="240" w:lineRule="auto"/>
        <w:ind w:firstLine="360"/>
        <w:jc w:val="both"/>
        <w:rPr>
          <w:szCs w:val="24"/>
        </w:rPr>
      </w:pPr>
      <w:r w:rsidRPr="00771677">
        <w:rPr>
          <w:szCs w:val="24"/>
        </w:rPr>
        <w:t xml:space="preserve">“MSRB” means the Municipal Securities Rulemaking Board established in accordance with the provisions of Section 15B(b)(1) of the 1934 Act, or any successor thereto for purposes of the Rule. </w:t>
      </w:r>
    </w:p>
    <w:p w14:paraId="2FCEB8C5" w14:textId="77777777" w:rsidR="00771677" w:rsidRPr="00771677" w:rsidRDefault="00771677" w:rsidP="00771677">
      <w:pPr>
        <w:suppressAutoHyphens/>
        <w:spacing w:line="240" w:lineRule="auto"/>
        <w:ind w:firstLine="360"/>
        <w:jc w:val="both"/>
        <w:rPr>
          <w:szCs w:val="24"/>
        </w:rPr>
      </w:pPr>
      <w:r w:rsidRPr="00771677">
        <w:rPr>
          <w:szCs w:val="24"/>
        </w:rPr>
        <w:t xml:space="preserve">“Obligated Person” means the Board. </w:t>
      </w:r>
    </w:p>
    <w:p w14:paraId="28932546" w14:textId="56D9379F" w:rsidR="00771677" w:rsidRPr="00771677" w:rsidRDefault="00771677" w:rsidP="00771677">
      <w:pPr>
        <w:suppressAutoHyphens/>
        <w:spacing w:line="240" w:lineRule="auto"/>
        <w:ind w:firstLine="360"/>
        <w:jc w:val="both"/>
        <w:rPr>
          <w:szCs w:val="24"/>
        </w:rPr>
      </w:pPr>
      <w:r w:rsidRPr="00771677">
        <w:rPr>
          <w:szCs w:val="24"/>
        </w:rPr>
        <w:t xml:space="preserve">“Official Statement” means the Board’s Official Statement, dated ______________, </w:t>
      </w:r>
      <w:r w:rsidRPr="00771677">
        <w:rPr>
          <w:szCs w:val="24"/>
        </w:rPr>
        <w:t>2026</w:t>
      </w:r>
      <w:r w:rsidRPr="00771677">
        <w:rPr>
          <w:szCs w:val="24"/>
        </w:rPr>
        <w:t xml:space="preserve">, relating to the Series </w:t>
      </w:r>
      <w:r w:rsidRPr="00771677">
        <w:rPr>
          <w:szCs w:val="24"/>
        </w:rPr>
        <w:t>2026</w:t>
      </w:r>
      <w:r w:rsidRPr="00771677">
        <w:rPr>
          <w:szCs w:val="24"/>
        </w:rPr>
        <w:t xml:space="preserve"> Bonds, as the same may be amended or supplemented.</w:t>
      </w:r>
    </w:p>
    <w:p w14:paraId="3009C1C0" w14:textId="77777777" w:rsidR="00771677" w:rsidRPr="00771677" w:rsidRDefault="00771677" w:rsidP="00771677">
      <w:pPr>
        <w:suppressAutoHyphens/>
        <w:spacing w:line="240" w:lineRule="auto"/>
        <w:ind w:firstLine="360"/>
        <w:jc w:val="both"/>
        <w:rPr>
          <w:szCs w:val="24"/>
        </w:rPr>
      </w:pPr>
      <w:r w:rsidRPr="00771677">
        <w:rPr>
          <w:szCs w:val="24"/>
        </w:rPr>
        <w:t>“Participating Underwriters” means the original underwriters of the Bonds required to comply with the Rule in connection with offering of the Bonds.</w:t>
      </w:r>
    </w:p>
    <w:p w14:paraId="015ABBFE" w14:textId="77777777" w:rsidR="00771677" w:rsidRPr="00771677" w:rsidRDefault="00771677" w:rsidP="00771677">
      <w:pPr>
        <w:suppressAutoHyphens/>
        <w:spacing w:line="240" w:lineRule="auto"/>
        <w:ind w:firstLine="360"/>
        <w:jc w:val="both"/>
        <w:rPr>
          <w:szCs w:val="24"/>
        </w:rPr>
      </w:pPr>
      <w:r w:rsidRPr="00771677">
        <w:rPr>
          <w:szCs w:val="24"/>
        </w:rPr>
        <w:t>“Report Date” means 180 days after the end of each of the Board’s Fiscal Year.</w:t>
      </w:r>
    </w:p>
    <w:p w14:paraId="10EABF91" w14:textId="77777777" w:rsidR="00771677" w:rsidRPr="00771677" w:rsidRDefault="00771677" w:rsidP="00771677">
      <w:pPr>
        <w:suppressAutoHyphens/>
        <w:spacing w:line="240" w:lineRule="auto"/>
        <w:ind w:firstLine="360"/>
        <w:jc w:val="both"/>
        <w:rPr>
          <w:szCs w:val="24"/>
        </w:rPr>
      </w:pPr>
      <w:r w:rsidRPr="00771677">
        <w:rPr>
          <w:szCs w:val="24"/>
        </w:rPr>
        <w:t>“SAU” or the “University” means the Magnolia, Arkansas campus of the Board.</w:t>
      </w:r>
    </w:p>
    <w:p w14:paraId="18C3CB50" w14:textId="77777777" w:rsidR="00771677" w:rsidRPr="00771677" w:rsidRDefault="00771677" w:rsidP="00771677">
      <w:pPr>
        <w:suppressAutoHyphens/>
        <w:spacing w:line="240" w:lineRule="auto"/>
        <w:ind w:firstLine="360"/>
        <w:jc w:val="both"/>
        <w:rPr>
          <w:szCs w:val="24"/>
        </w:rPr>
      </w:pPr>
      <w:r w:rsidRPr="00771677">
        <w:rPr>
          <w:szCs w:val="24"/>
        </w:rPr>
        <w:lastRenderedPageBreak/>
        <w:t>“State” means the State of Arkansas.</w:t>
      </w:r>
    </w:p>
    <w:p w14:paraId="2A5B6C6E" w14:textId="77777777" w:rsidR="00771677" w:rsidRPr="00771677" w:rsidRDefault="00771677" w:rsidP="00771677">
      <w:pPr>
        <w:keepNext/>
        <w:suppressAutoHyphens/>
        <w:spacing w:line="240" w:lineRule="auto"/>
        <w:ind w:firstLine="360"/>
        <w:jc w:val="both"/>
        <w:rPr>
          <w:b/>
          <w:szCs w:val="24"/>
        </w:rPr>
      </w:pPr>
      <w:r w:rsidRPr="00771677">
        <w:rPr>
          <w:b/>
          <w:szCs w:val="24"/>
        </w:rPr>
        <w:t>Section 2. Purpose of this Agreement; Obligated Persons; Agreement to Constitute Contract.</w:t>
      </w:r>
    </w:p>
    <w:p w14:paraId="105B882D" w14:textId="77777777" w:rsidR="00771677" w:rsidRPr="00771677" w:rsidRDefault="00771677" w:rsidP="00771677">
      <w:pPr>
        <w:suppressAutoHyphens/>
        <w:spacing w:line="240" w:lineRule="auto"/>
        <w:ind w:firstLine="360"/>
        <w:jc w:val="both"/>
        <w:rPr>
          <w:szCs w:val="24"/>
        </w:rPr>
      </w:pPr>
      <w:r w:rsidRPr="00771677">
        <w:rPr>
          <w:szCs w:val="24"/>
        </w:rPr>
        <w:t>(a) This Agreement is being executed and delivered by the Board and the Trustee for the benefit of the Beneficial Owners of the Bonds and in order to assist the Participating Underwriters in complying with, and constitutes the written undertaking for the Beneficial Owners required by, the Rule.</w:t>
      </w:r>
    </w:p>
    <w:p w14:paraId="2283D7C4" w14:textId="77777777" w:rsidR="00771677" w:rsidRPr="00771677" w:rsidRDefault="00771677" w:rsidP="00771677">
      <w:pPr>
        <w:suppressAutoHyphens/>
        <w:spacing w:line="240" w:lineRule="auto"/>
        <w:ind w:firstLine="360"/>
        <w:jc w:val="both"/>
        <w:rPr>
          <w:szCs w:val="24"/>
        </w:rPr>
      </w:pPr>
      <w:r w:rsidRPr="00771677">
        <w:rPr>
          <w:szCs w:val="24"/>
        </w:rPr>
        <w:t>(b) The Board is an “obligated person” within the meaning of the Rule (and is the only “obligated person” within the meaning of the Rule for whom financial information or operating data is presented in the Official Statement), and agrees to provide Annual Report, and Listed Event Notices as provided in this Agreement.</w:t>
      </w:r>
    </w:p>
    <w:p w14:paraId="36F938E2" w14:textId="77777777" w:rsidR="00771677" w:rsidRPr="00771677" w:rsidRDefault="00771677" w:rsidP="00771677">
      <w:pPr>
        <w:suppressAutoHyphens/>
        <w:spacing w:line="240" w:lineRule="auto"/>
        <w:ind w:firstLine="360"/>
        <w:jc w:val="both"/>
        <w:rPr>
          <w:szCs w:val="24"/>
        </w:rPr>
      </w:pPr>
      <w:r w:rsidRPr="00771677">
        <w:rPr>
          <w:szCs w:val="24"/>
        </w:rPr>
        <w:t>(c) In consideration of the purchase and acceptance of any and all of the Bonds by those who shall hold the same or shall own beneficial ownership interests therein from time to time, this Agreement shall be deemed to be and shall constitute a contract among the Board, the Trustee, and the Beneficial Owners from time to time of the Bonds; and the covenants and agreements set forth in this Agreement to be performed on behalf of the Board and the Trustee shall be for the benefit of the Beneficial Owners of any and all of the Bonds.</w:t>
      </w:r>
    </w:p>
    <w:p w14:paraId="1207FA8D" w14:textId="77777777" w:rsidR="00771677" w:rsidRPr="00771677" w:rsidRDefault="00771677" w:rsidP="00771677">
      <w:pPr>
        <w:keepNext/>
        <w:suppressAutoHyphens/>
        <w:spacing w:line="240" w:lineRule="auto"/>
        <w:ind w:firstLine="360"/>
        <w:jc w:val="both"/>
        <w:rPr>
          <w:b/>
          <w:szCs w:val="24"/>
        </w:rPr>
      </w:pPr>
      <w:r w:rsidRPr="00771677">
        <w:rPr>
          <w:b/>
          <w:szCs w:val="24"/>
        </w:rPr>
        <w:t>Section 3. Provision of Annual Reports.</w:t>
      </w:r>
    </w:p>
    <w:p w14:paraId="5723B71B" w14:textId="07A4B94F" w:rsidR="00771677" w:rsidRPr="00771677" w:rsidRDefault="00771677" w:rsidP="00771677">
      <w:pPr>
        <w:suppressAutoHyphens/>
        <w:spacing w:line="240" w:lineRule="auto"/>
        <w:ind w:firstLine="360"/>
        <w:jc w:val="both"/>
        <w:rPr>
          <w:szCs w:val="24"/>
        </w:rPr>
      </w:pPr>
      <w:r w:rsidRPr="00771677">
        <w:rPr>
          <w:szCs w:val="24"/>
        </w:rPr>
        <w:t xml:space="preserve">(a) The Board shall, or shall cause the Dissemination Agent to, on or before each Report Date, commencing with the Fiscal Year ended June 30, </w:t>
      </w:r>
      <w:r w:rsidRPr="00771677">
        <w:rPr>
          <w:szCs w:val="24"/>
        </w:rPr>
        <w:t>____</w:t>
      </w:r>
      <w:r w:rsidRPr="00771677">
        <w:rPr>
          <w:szCs w:val="24"/>
        </w:rPr>
        <w:t>, to the MSRB through EMMA or any similar system acceptable to the SEC an Annual Report which is consistent with the requirements of this Agreement. Not later than fifteen (15) business days prior to said the Report Date, the Board shall provide the Annual Report to the Dissemination Agent and the Trustee (if the Trustee is not the Dissemination Agent). Annual Reports may be submitted as single documents or as separate documents comprising a package, and may cross-reference other information; provided that the annual financial statements of the Board may be submitted separately from the balance of the Annual Report and later than the Report Date if they are not available by that date but shall be submitted within 60 days after receipt by the Board. The Annual Report shall be filed in electronic format as prescribed by the MSRB and shall be accompanied by identifying information as prescribed by the MSRB. Should the Board establish a customized EMMA issuer page, and Annual Reports and audited financial statements be posted accordingly within the time-period set forth above, the Board shall be deemed to have complied with this paragraph.</w:t>
      </w:r>
    </w:p>
    <w:p w14:paraId="10347661" w14:textId="77777777" w:rsidR="00771677" w:rsidRPr="00771677" w:rsidRDefault="00771677" w:rsidP="00771677">
      <w:pPr>
        <w:keepNext/>
        <w:suppressAutoHyphens/>
        <w:spacing w:line="240" w:lineRule="auto"/>
        <w:ind w:firstLine="360"/>
        <w:jc w:val="both"/>
        <w:rPr>
          <w:b/>
          <w:szCs w:val="24"/>
        </w:rPr>
      </w:pPr>
      <w:r w:rsidRPr="00771677">
        <w:rPr>
          <w:b/>
          <w:szCs w:val="24"/>
        </w:rPr>
        <w:t>Section 4. Content of Annual Reports.</w:t>
      </w:r>
    </w:p>
    <w:p w14:paraId="47AE2C79" w14:textId="77777777" w:rsidR="00771677" w:rsidRPr="00771677" w:rsidRDefault="00771677" w:rsidP="00771677">
      <w:pPr>
        <w:suppressAutoHyphens/>
        <w:spacing w:line="240" w:lineRule="auto"/>
        <w:ind w:firstLine="360"/>
        <w:jc w:val="both"/>
        <w:rPr>
          <w:szCs w:val="24"/>
        </w:rPr>
      </w:pPr>
      <w:r w:rsidRPr="00771677">
        <w:rPr>
          <w:szCs w:val="24"/>
        </w:rPr>
        <w:t>The Annual Report shall contain or include by reference the following:</w:t>
      </w:r>
    </w:p>
    <w:p w14:paraId="7FECF180" w14:textId="52D6F94C" w:rsidR="00771677" w:rsidRPr="00771677" w:rsidRDefault="00771677" w:rsidP="00771677">
      <w:pPr>
        <w:numPr>
          <w:ilvl w:val="0"/>
          <w:numId w:val="1"/>
        </w:numPr>
        <w:suppressAutoHyphens/>
        <w:spacing w:line="240" w:lineRule="auto"/>
        <w:jc w:val="both"/>
        <w:rPr>
          <w:szCs w:val="24"/>
        </w:rPr>
      </w:pPr>
      <w:r w:rsidRPr="00771677">
        <w:rPr>
          <w:szCs w:val="24"/>
        </w:rPr>
        <w:t xml:space="preserve">Information of the type set forth in the Official Statement under the captions </w:t>
      </w:r>
      <w:r w:rsidRPr="00771677">
        <w:rPr>
          <w:b/>
          <w:szCs w:val="24"/>
        </w:rPr>
        <w:t xml:space="preserve">SECURITY FOR THE BONDS, </w:t>
      </w:r>
      <w:r w:rsidR="007F36B6">
        <w:rPr>
          <w:b/>
          <w:szCs w:val="24"/>
        </w:rPr>
        <w:t>Auxiliary Enterprises</w:t>
      </w:r>
      <w:r w:rsidRPr="00771677">
        <w:rPr>
          <w:b/>
          <w:szCs w:val="24"/>
        </w:rPr>
        <w:t xml:space="preserve"> Revenues </w:t>
      </w:r>
      <w:r w:rsidRPr="00771677">
        <w:rPr>
          <w:szCs w:val="24"/>
        </w:rPr>
        <w:t xml:space="preserve">and </w:t>
      </w:r>
      <w:r w:rsidRPr="00771677">
        <w:rPr>
          <w:b/>
          <w:szCs w:val="24"/>
        </w:rPr>
        <w:t xml:space="preserve">SOUTHERN ARKANSAS UNIVERSITY Enrollment </w:t>
      </w:r>
      <w:r w:rsidRPr="00771677">
        <w:rPr>
          <w:szCs w:val="24"/>
        </w:rPr>
        <w:t>as set forth in the form of certificate in Exhibit A.</w:t>
      </w:r>
    </w:p>
    <w:p w14:paraId="3FF9A9A5" w14:textId="77777777" w:rsidR="00771677" w:rsidRPr="00771677" w:rsidRDefault="00771677" w:rsidP="00771677">
      <w:pPr>
        <w:numPr>
          <w:ilvl w:val="0"/>
          <w:numId w:val="1"/>
        </w:numPr>
        <w:suppressAutoHyphens/>
        <w:spacing w:line="240" w:lineRule="auto"/>
        <w:jc w:val="both"/>
        <w:rPr>
          <w:szCs w:val="24"/>
        </w:rPr>
      </w:pPr>
      <w:r w:rsidRPr="00771677">
        <w:rPr>
          <w:szCs w:val="24"/>
        </w:rPr>
        <w:lastRenderedPageBreak/>
        <w:t>The annual audited financial statements of the Board and, if issued, the audited financial statements of SAU each prepared in accordance with governmental accounting standards and applicable state law.</w:t>
      </w:r>
    </w:p>
    <w:p w14:paraId="67EDF961" w14:textId="3CDF61F3" w:rsidR="00771677" w:rsidRPr="00771677" w:rsidRDefault="00771677" w:rsidP="00771677">
      <w:pPr>
        <w:suppressAutoHyphens/>
        <w:spacing w:line="240" w:lineRule="auto"/>
        <w:ind w:firstLine="720"/>
        <w:jc w:val="both"/>
        <w:rPr>
          <w:szCs w:val="24"/>
        </w:rPr>
      </w:pPr>
      <w:r w:rsidRPr="00771677">
        <w:rPr>
          <w:szCs w:val="24"/>
        </w:rPr>
        <w:t>Any or all of the items listed above may be included by specific reference to other documents, including official statements of debt issues with respect to which the Board is an Obligated Person which have been submitted to the MSRB’s internet website and filed with the Securities and Exchange Commission. If the document included by reference is a final official statement, it must be available from the MSRB. The Board shall clearly identify each other document so included by reference.</w:t>
      </w:r>
    </w:p>
    <w:p w14:paraId="2F84E14B" w14:textId="60BD79C6" w:rsidR="00771677" w:rsidRPr="00771677" w:rsidRDefault="00771677" w:rsidP="00771677">
      <w:pPr>
        <w:suppressAutoHyphens/>
        <w:spacing w:line="240" w:lineRule="auto"/>
        <w:ind w:firstLine="720"/>
        <w:jc w:val="both"/>
        <w:rPr>
          <w:szCs w:val="24"/>
        </w:rPr>
      </w:pPr>
      <w:r w:rsidRPr="00771677">
        <w:rPr>
          <w:szCs w:val="24"/>
        </w:rPr>
        <w:t xml:space="preserve">The Dissemination Agent shall file a report to be maintained by the Board certifying that the Annual Report has been provided pursuant to this Agreement and stating the date it was provided. If the Board is not serving as Dissemination Agent, and if the Dissemination Agent does not receive the Annual Report, the Dissemination Agent shall, without further direction or instruction from the Board, provide in a timely manner to the MSRB notice of any failure by the Board to provide to the Dissemination Agent Annual Report on or before the Report Date. </w:t>
      </w:r>
    </w:p>
    <w:p w14:paraId="17C3D908" w14:textId="77777777" w:rsidR="00771677" w:rsidRPr="00771677" w:rsidRDefault="00771677" w:rsidP="00771677">
      <w:pPr>
        <w:keepNext/>
        <w:suppressAutoHyphens/>
        <w:spacing w:line="240" w:lineRule="auto"/>
        <w:ind w:firstLine="360"/>
        <w:jc w:val="both"/>
        <w:rPr>
          <w:b/>
          <w:szCs w:val="24"/>
        </w:rPr>
      </w:pPr>
      <w:r w:rsidRPr="00771677">
        <w:rPr>
          <w:b/>
          <w:szCs w:val="24"/>
        </w:rPr>
        <w:t>Section 5. Reporting of Listed Events.</w:t>
      </w:r>
    </w:p>
    <w:p w14:paraId="4F69D921" w14:textId="675F8A24" w:rsidR="00771677" w:rsidRPr="00771677" w:rsidRDefault="00771677" w:rsidP="00771677">
      <w:pPr>
        <w:suppressAutoHyphens/>
        <w:spacing w:line="240" w:lineRule="auto"/>
        <w:ind w:firstLine="360"/>
        <w:jc w:val="both"/>
        <w:rPr>
          <w:szCs w:val="24"/>
        </w:rPr>
      </w:pPr>
      <w:r w:rsidRPr="00771677">
        <w:rPr>
          <w:szCs w:val="24"/>
        </w:rPr>
        <w:t>(a) If a Listed Event occurs the Board shall provide, or shall cause to be provided by the Trustee, a Listed Event Notice, in a timely manner not in excess of 10 Business Days after the occurrence of such Listed Event, to the MSRB, through its continuing disclosure service portal provided through EMMA at http://www.msrb.emma.org or any other similar system that is acceptable to the SEC. Each notice of the occurrence of a Listed Event shall be captioned “Notice of Listed Event” and shall be filed in electronic format as prescribed by the MSRB and shall be accompanied by identifying information as prescribed by the MSRB</w:t>
      </w:r>
      <w:r w:rsidR="00D62B3C">
        <w:rPr>
          <w:szCs w:val="24"/>
        </w:rPr>
        <w:t>.</w:t>
      </w:r>
      <w:r w:rsidRPr="00771677">
        <w:rPr>
          <w:szCs w:val="24"/>
        </w:rPr>
        <w:t xml:space="preserve"> </w:t>
      </w:r>
    </w:p>
    <w:p w14:paraId="2ABB9CEF" w14:textId="172C42ED" w:rsidR="00771677" w:rsidRPr="00771677" w:rsidRDefault="00771677" w:rsidP="00771677">
      <w:pPr>
        <w:suppressAutoHyphens/>
        <w:spacing w:line="240" w:lineRule="auto"/>
        <w:ind w:firstLine="360"/>
        <w:jc w:val="both"/>
        <w:rPr>
          <w:szCs w:val="24"/>
        </w:rPr>
      </w:pPr>
      <w:r w:rsidRPr="00771677">
        <w:rPr>
          <w:szCs w:val="24"/>
        </w:rPr>
        <w:fldChar w:fldCharType="begin"/>
      </w:r>
      <w:r w:rsidRPr="00771677">
        <w:rPr>
          <w:szCs w:val="24"/>
        </w:rPr>
        <w:instrText xml:space="preserve"> SEQ CHAPTER \h \r 1</w:instrText>
      </w:r>
      <w:r w:rsidRPr="00771677">
        <w:rPr>
          <w:szCs w:val="24"/>
        </w:rPr>
        <w:fldChar w:fldCharType="end"/>
      </w:r>
      <w:r w:rsidRPr="00771677">
        <w:rPr>
          <w:szCs w:val="24"/>
        </w:rPr>
        <w:t>(b) Notwithstanding the foregoing, notice of Listed Events described in subsections (viii) and (ix) of the definition of “Listed Event” need not be given any earlier than the notice (if any) of the underlying event is given to the Bondholders of affected Bonds pursuant to the Indenture.</w:t>
      </w:r>
    </w:p>
    <w:p w14:paraId="7A803D69" w14:textId="5FF57A3E" w:rsidR="00771677" w:rsidRPr="00771677" w:rsidRDefault="00771677" w:rsidP="00771677">
      <w:pPr>
        <w:suppressAutoHyphens/>
        <w:spacing w:line="240" w:lineRule="auto"/>
        <w:ind w:firstLine="360"/>
        <w:jc w:val="both"/>
        <w:rPr>
          <w:szCs w:val="24"/>
        </w:rPr>
      </w:pPr>
      <w:r w:rsidRPr="00771677">
        <w:rPr>
          <w:b/>
          <w:szCs w:val="24"/>
        </w:rPr>
        <w:t>Section 6. Termination of Reporting Obligation</w:t>
      </w:r>
      <w:r w:rsidRPr="00771677">
        <w:rPr>
          <w:szCs w:val="24"/>
        </w:rPr>
        <w:t xml:space="preserve">. The obligations of the Board under this Agreement with respect to the Series </w:t>
      </w:r>
      <w:r w:rsidRPr="00771677">
        <w:rPr>
          <w:szCs w:val="24"/>
        </w:rPr>
        <w:t>2026</w:t>
      </w:r>
      <w:r w:rsidRPr="00771677">
        <w:rPr>
          <w:szCs w:val="24"/>
        </w:rPr>
        <w:t xml:space="preserve"> Bonds shall terminate upon the legal defeasance, prior redemption or payment in full of all the Series </w:t>
      </w:r>
      <w:r w:rsidRPr="00771677">
        <w:rPr>
          <w:szCs w:val="24"/>
        </w:rPr>
        <w:t>2026</w:t>
      </w:r>
      <w:r w:rsidRPr="00771677">
        <w:rPr>
          <w:szCs w:val="24"/>
        </w:rPr>
        <w:t xml:space="preserve"> Bonds. If such termination occurs prior to the final maturity of the Bonds, the Board shall give notice of such termination or substitution in the same manner as for a Listed Event.</w:t>
      </w:r>
    </w:p>
    <w:p w14:paraId="24C0D504" w14:textId="77777777" w:rsidR="00771677" w:rsidRPr="00771677" w:rsidRDefault="00771677" w:rsidP="00771677">
      <w:pPr>
        <w:keepNext/>
        <w:suppressAutoHyphens/>
        <w:spacing w:line="240" w:lineRule="auto"/>
        <w:ind w:firstLine="360"/>
        <w:jc w:val="both"/>
        <w:rPr>
          <w:b/>
          <w:szCs w:val="24"/>
        </w:rPr>
      </w:pPr>
      <w:r w:rsidRPr="00771677">
        <w:rPr>
          <w:b/>
          <w:szCs w:val="24"/>
        </w:rPr>
        <w:t xml:space="preserve">Section 7. Dissemination Agent. </w:t>
      </w:r>
    </w:p>
    <w:p w14:paraId="14B8B546" w14:textId="77777777" w:rsidR="00771677" w:rsidRPr="00771677" w:rsidRDefault="00771677" w:rsidP="00771677">
      <w:pPr>
        <w:suppressAutoHyphens/>
        <w:spacing w:line="240" w:lineRule="auto"/>
        <w:ind w:firstLine="360"/>
        <w:jc w:val="both"/>
        <w:rPr>
          <w:szCs w:val="24"/>
        </w:rPr>
      </w:pPr>
      <w:r w:rsidRPr="00771677">
        <w:rPr>
          <w:szCs w:val="24"/>
        </w:rPr>
        <w:t>(a) The Board may, from time to time, appoint or engage a Dissemination Agent to assist it in carrying out its obligations under this Agreement, and may discharge any such Agent, with or without appointing a successor Dissemination Agent. The Dissemination Agent shall not be responsible in any manner for the content of any notice or report prepared by the Board pursuant to this Agreement. If at any time there is not any other designated Dissemination Agent, the Trustee shall be the Dissemination Agent. The Board hereby designates the Trustee as the initial Dissemination Agent.</w:t>
      </w:r>
    </w:p>
    <w:p w14:paraId="0D0F0876" w14:textId="77777777" w:rsidR="00771677" w:rsidRPr="00771677" w:rsidRDefault="00771677" w:rsidP="00771677">
      <w:pPr>
        <w:suppressAutoHyphens/>
        <w:spacing w:line="240" w:lineRule="auto"/>
        <w:ind w:firstLine="360"/>
        <w:jc w:val="both"/>
        <w:rPr>
          <w:szCs w:val="24"/>
        </w:rPr>
      </w:pPr>
      <w:r w:rsidRPr="00771677">
        <w:rPr>
          <w:szCs w:val="24"/>
        </w:rPr>
        <w:lastRenderedPageBreak/>
        <w:t xml:space="preserve">(b) Unless otherwise required by law and subject to technical and economic feasibility, the Board and the Dissemination Agent shall employ such methods of information transmission as shall be requested or recommended by the designated recipients of the Board’s information. </w:t>
      </w:r>
    </w:p>
    <w:p w14:paraId="14C45C07" w14:textId="77777777" w:rsidR="00771677" w:rsidRPr="00771677" w:rsidRDefault="00771677" w:rsidP="00771677">
      <w:pPr>
        <w:suppressAutoHyphens/>
        <w:spacing w:line="240" w:lineRule="auto"/>
        <w:ind w:firstLine="360"/>
        <w:jc w:val="both"/>
        <w:rPr>
          <w:szCs w:val="24"/>
        </w:rPr>
      </w:pPr>
      <w:r w:rsidRPr="00771677">
        <w:rPr>
          <w:b/>
          <w:szCs w:val="24"/>
        </w:rPr>
        <w:t>Section 7. Amendment; Waiver</w:t>
      </w:r>
      <w:r w:rsidRPr="00771677">
        <w:rPr>
          <w:szCs w:val="24"/>
        </w:rPr>
        <w:t xml:space="preserve">. Notwithstanding any other provision of this Agreement, the Board may amend this Agreement, and any provision of this Agreement may be waived by the parties hereto, if such amendment or waiver is supported by an opinion of counsel expert in federal securities laws to the effect that such amendment or waiver would not, in and of itself, cause the undertakings herein to violate the Rule if such amendment or waiver had been effective on the date hereof but taking into account any subsequent change in or official interpretation of the Rule, provided that the Board shall have provided notice of such delivery and of the amendment to the MSRB. Any such amendment shall satisfy, unless otherwise permitted by the Rule, the following conditions: </w:t>
      </w:r>
    </w:p>
    <w:p w14:paraId="4C0B451F" w14:textId="77777777" w:rsidR="00771677" w:rsidRPr="00771677" w:rsidRDefault="00771677" w:rsidP="00771677">
      <w:pPr>
        <w:suppressAutoHyphens/>
        <w:spacing w:line="240" w:lineRule="auto"/>
        <w:ind w:firstLine="360"/>
        <w:jc w:val="both"/>
        <w:rPr>
          <w:szCs w:val="24"/>
        </w:rPr>
      </w:pPr>
      <w:r w:rsidRPr="00771677">
        <w:rPr>
          <w:szCs w:val="24"/>
        </w:rPr>
        <w:t xml:space="preserve">(a) The amendment may only be made in connection with a change in circumstances that arises from a change in legal reimbursements, change in law, or change in the identity, nature, or status of the obligated person or type of business conducted; </w:t>
      </w:r>
    </w:p>
    <w:p w14:paraId="67678229" w14:textId="77777777" w:rsidR="00771677" w:rsidRPr="00771677" w:rsidRDefault="00771677" w:rsidP="00771677">
      <w:pPr>
        <w:suppressAutoHyphens/>
        <w:spacing w:line="240" w:lineRule="auto"/>
        <w:ind w:firstLine="360"/>
        <w:jc w:val="both"/>
        <w:rPr>
          <w:szCs w:val="24"/>
        </w:rPr>
      </w:pPr>
      <w:r w:rsidRPr="00771677">
        <w:rPr>
          <w:szCs w:val="24"/>
        </w:rPr>
        <w:t xml:space="preserve">(b) This Agreement, as amended, would have complied with the requirements of the Rule at the time of the primary offering, after taking into account any amendments or interpretations of the Rule, as well as any change in circumstances; and </w:t>
      </w:r>
    </w:p>
    <w:p w14:paraId="08F95F2D" w14:textId="77777777" w:rsidR="00771677" w:rsidRPr="00771677" w:rsidRDefault="00771677" w:rsidP="00771677">
      <w:pPr>
        <w:suppressAutoHyphens/>
        <w:spacing w:line="240" w:lineRule="auto"/>
        <w:ind w:firstLine="360"/>
        <w:jc w:val="both"/>
        <w:rPr>
          <w:szCs w:val="24"/>
        </w:rPr>
      </w:pPr>
      <w:r w:rsidRPr="00771677">
        <w:rPr>
          <w:szCs w:val="24"/>
        </w:rPr>
        <w:t xml:space="preserve">(c) The amendment does not materially impair the interests of the Beneficial Owners, as determined by a nationally recognized bond counsel, or by approving vote of Bondholders pursuant to the terms of the Indenture at the time of the amendment. </w:t>
      </w:r>
    </w:p>
    <w:p w14:paraId="61C4F39F" w14:textId="77777777" w:rsidR="00771677" w:rsidRPr="00771677" w:rsidRDefault="00771677" w:rsidP="00771677">
      <w:pPr>
        <w:suppressAutoHyphens/>
        <w:spacing w:line="240" w:lineRule="auto"/>
        <w:ind w:firstLine="360"/>
        <w:jc w:val="both"/>
        <w:rPr>
          <w:szCs w:val="24"/>
        </w:rPr>
      </w:pPr>
      <w:r w:rsidRPr="00771677">
        <w:rPr>
          <w:szCs w:val="24"/>
        </w:rPr>
        <w:t xml:space="preserve">The initial Annual Report after the amendment shall explain, in narrative form, the reasons for the amendment and the effect of the change, if any, in the type of operating data or financial information being provided. </w:t>
      </w:r>
    </w:p>
    <w:p w14:paraId="5BC31664" w14:textId="77777777" w:rsidR="00771677" w:rsidRPr="00771677" w:rsidRDefault="00771677" w:rsidP="00771677">
      <w:pPr>
        <w:suppressAutoHyphens/>
        <w:spacing w:line="240" w:lineRule="auto"/>
        <w:ind w:firstLine="360"/>
        <w:jc w:val="both"/>
        <w:rPr>
          <w:szCs w:val="24"/>
        </w:rPr>
      </w:pPr>
      <w:r w:rsidRPr="00771677">
        <w:rPr>
          <w:b/>
          <w:szCs w:val="24"/>
        </w:rPr>
        <w:t>Section 8. Additional Information</w:t>
      </w:r>
      <w:r w:rsidRPr="00771677">
        <w:rPr>
          <w:szCs w:val="24"/>
        </w:rPr>
        <w:t xml:space="preserve">. Nothing in this Agreement shall be deemed to prevent the Board from disseminating any other information, using the means of dissemination set forth in this Agreement or any other means of communication, or including any other information in any Annual Report or notice of occurrence of a Listed Event, in addition to that which is required by this Agreement. If the Board chooses to include any information in any Annual Report or notice of occurrence of a Listed Event in addition to that which is specifically required by this Agreement, the Board shall have no obligation under this Agreement to update such information or include it in any future Annual Report or notice of occurrence of a Listed Event. </w:t>
      </w:r>
    </w:p>
    <w:p w14:paraId="663EEF4A" w14:textId="77777777" w:rsidR="00771677" w:rsidRPr="00771677" w:rsidRDefault="00771677" w:rsidP="00771677">
      <w:pPr>
        <w:suppressAutoHyphens/>
        <w:spacing w:line="240" w:lineRule="auto"/>
        <w:ind w:firstLine="360"/>
        <w:jc w:val="both"/>
        <w:rPr>
          <w:szCs w:val="24"/>
        </w:rPr>
      </w:pPr>
      <w:r w:rsidRPr="00771677">
        <w:rPr>
          <w:b/>
          <w:szCs w:val="24"/>
        </w:rPr>
        <w:t>Section 9. Default</w:t>
      </w:r>
      <w:r w:rsidRPr="00771677">
        <w:rPr>
          <w:szCs w:val="24"/>
        </w:rPr>
        <w:t xml:space="preserve">. In the event of a failure of the Board or the Dissemination Agent to comply with any provision of this Agreement, any Beneficial Owner may seek mandate or specific performance by court order to cause the Board to comply with its obligations under this Agreement. A default under this Agreement shall not be deemed an Event of Default under the Indenture, and the rights and remedies provided by the Indenture upon the occurrence of an “Event of Default” shall not apply to any such failure. The Board shall not be liable for any breach of its obligations under this Section unless such breach is the result of willful or reckless actions or omissions. The sole remedy under this Agreement in the event of any failure of the Board or the Dissemination Agent to comply with this Agreement shall be an action to compel performance </w:t>
      </w:r>
      <w:r w:rsidRPr="00771677">
        <w:rPr>
          <w:szCs w:val="24"/>
        </w:rPr>
        <w:lastRenderedPageBreak/>
        <w:t xml:space="preserve">and the Board, its members, officers and employees shall incur no liability under this Agreement by reason of any act or failure to act hereunder. Without limiting the generality of the foregoing, neither the commencement nor the successful completion of an action to compel performance under this Section shall entitle any person to attorney’s fees, financial damages of any sort or any other relief other than an order or injunction compelling performance. </w:t>
      </w:r>
    </w:p>
    <w:p w14:paraId="176ED87B" w14:textId="77777777" w:rsidR="00771677" w:rsidRPr="00771677" w:rsidRDefault="00771677" w:rsidP="00771677">
      <w:pPr>
        <w:suppressAutoHyphens/>
        <w:spacing w:line="240" w:lineRule="auto"/>
        <w:ind w:firstLine="360"/>
        <w:jc w:val="both"/>
        <w:rPr>
          <w:szCs w:val="24"/>
        </w:rPr>
      </w:pPr>
      <w:r w:rsidRPr="00771677">
        <w:rPr>
          <w:b/>
          <w:szCs w:val="24"/>
        </w:rPr>
        <w:t>Section 10. Duties, Immunities, and Liabilities of Dissemination Agent</w:t>
      </w:r>
      <w:r w:rsidRPr="00771677">
        <w:rPr>
          <w:szCs w:val="24"/>
        </w:rPr>
        <w:t xml:space="preserve">. The Dissemination Agent shall have only such duties as are specifically set forth in this Agreement, and the Board agrees to indemnify and save the Dissemination Agent, its officers, directors, employees, and agents harmless against any loss, expense and liabilities which it may incur arising out of or in the exercise or performance of its powers and duties hereunder, including the costs and expenses (including attorneys’ fees) of defending against any claim of liability, but excluding liabilities due to the Dissemination Agent’s negligence or willful misconduct. The obligations of the Board under this Section shall survive resignation or removal of the Dissemination Agent and payment of the Bonds. </w:t>
      </w:r>
    </w:p>
    <w:p w14:paraId="12739E0F" w14:textId="77777777" w:rsidR="00771677" w:rsidRPr="00771677" w:rsidRDefault="00771677" w:rsidP="00771677">
      <w:pPr>
        <w:suppressAutoHyphens/>
        <w:spacing w:line="240" w:lineRule="auto"/>
        <w:ind w:firstLine="360"/>
        <w:jc w:val="both"/>
        <w:rPr>
          <w:szCs w:val="24"/>
        </w:rPr>
      </w:pPr>
      <w:r w:rsidRPr="00771677">
        <w:rPr>
          <w:b/>
          <w:szCs w:val="24"/>
        </w:rPr>
        <w:t>Section 11. Beneficiaries</w:t>
      </w:r>
      <w:r w:rsidRPr="00771677">
        <w:rPr>
          <w:szCs w:val="24"/>
        </w:rPr>
        <w:t xml:space="preserve">. This Agreement shall inure solely to the benefit of the Board and the Beneficial Owners from time to time of the Bonds or any interest therein, and shall create no rights in any other person or entity. </w:t>
      </w:r>
    </w:p>
    <w:p w14:paraId="788361D7" w14:textId="77777777" w:rsidR="00771677" w:rsidRPr="00771677" w:rsidRDefault="00771677" w:rsidP="00771677">
      <w:pPr>
        <w:suppressAutoHyphens/>
        <w:spacing w:line="240" w:lineRule="auto"/>
        <w:ind w:firstLine="360"/>
        <w:jc w:val="both"/>
        <w:rPr>
          <w:szCs w:val="24"/>
        </w:rPr>
      </w:pPr>
      <w:r w:rsidRPr="00771677">
        <w:rPr>
          <w:b/>
          <w:szCs w:val="24"/>
        </w:rPr>
        <w:t>Section 12. Interpretation</w:t>
      </w:r>
      <w:r w:rsidRPr="00771677">
        <w:rPr>
          <w:szCs w:val="24"/>
        </w:rPr>
        <w:t xml:space="preserve">. It being the intention of the parties that there be full and complete compliance with the Rule, this Agreement shall be construed in accordance with the written interpretative guidance and no-action letters published from time to time by the SEC and its staff with respect to the Rule. </w:t>
      </w:r>
    </w:p>
    <w:p w14:paraId="634D5E61" w14:textId="77777777" w:rsidR="00771677" w:rsidRPr="00771677" w:rsidRDefault="00771677" w:rsidP="00771677">
      <w:pPr>
        <w:suppressAutoHyphens/>
        <w:spacing w:line="240" w:lineRule="auto"/>
        <w:ind w:firstLine="360"/>
        <w:jc w:val="both"/>
        <w:rPr>
          <w:szCs w:val="24"/>
        </w:rPr>
      </w:pPr>
      <w:r w:rsidRPr="00771677">
        <w:rPr>
          <w:b/>
          <w:szCs w:val="24"/>
        </w:rPr>
        <w:t>Section 13. Counterparts</w:t>
      </w:r>
      <w:r w:rsidRPr="00771677">
        <w:rPr>
          <w:szCs w:val="24"/>
        </w:rPr>
        <w:t xml:space="preserve">. This Agreement may be executed in several counterparts, each of which shall be an original and all of which shall constitute but one and the same instrument. </w:t>
      </w:r>
    </w:p>
    <w:p w14:paraId="2A2A9105" w14:textId="77777777" w:rsidR="00771677" w:rsidRPr="00771677" w:rsidRDefault="00771677" w:rsidP="00771677">
      <w:pPr>
        <w:suppressAutoHyphens/>
        <w:spacing w:line="240" w:lineRule="auto"/>
        <w:ind w:firstLine="360"/>
        <w:jc w:val="both"/>
        <w:rPr>
          <w:szCs w:val="24"/>
        </w:rPr>
      </w:pPr>
      <w:r w:rsidRPr="00771677">
        <w:rPr>
          <w:b/>
          <w:szCs w:val="24"/>
        </w:rPr>
        <w:t>Section 14. Choice of Law</w:t>
      </w:r>
      <w:r w:rsidRPr="00771677">
        <w:rPr>
          <w:szCs w:val="24"/>
        </w:rPr>
        <w:t xml:space="preserve">. This Agreement shall be governed by and construed in accordance with the laws of the State of Arkansas, provided that to the extent this Agreement addresses matters of federal securities laws, including the Rule, this Agreement shall be construed in accordance with such federal securities laws and official interpretations thereof. </w:t>
      </w:r>
    </w:p>
    <w:p w14:paraId="3E0A483B" w14:textId="77777777" w:rsidR="00771677" w:rsidRPr="00771677" w:rsidRDefault="00771677" w:rsidP="00771677">
      <w:pPr>
        <w:suppressAutoHyphens/>
        <w:spacing w:line="240" w:lineRule="auto"/>
        <w:ind w:firstLine="360"/>
        <w:jc w:val="both"/>
        <w:rPr>
          <w:szCs w:val="24"/>
        </w:rPr>
      </w:pPr>
      <w:r w:rsidRPr="00771677">
        <w:rPr>
          <w:b/>
          <w:szCs w:val="24"/>
        </w:rPr>
        <w:t>Section 15. Notices.</w:t>
      </w:r>
      <w:r w:rsidRPr="00771677">
        <w:rPr>
          <w:szCs w:val="24"/>
        </w:rPr>
        <w:t xml:space="preserve"> Any notices or communications to or among any of the parties to this Agreement may be given as follows:</w:t>
      </w:r>
    </w:p>
    <w:tbl>
      <w:tblPr>
        <w:tblW w:w="0" w:type="auto"/>
        <w:jc w:val="center"/>
        <w:tblLayout w:type="fixed"/>
        <w:tblLook w:val="04A0" w:firstRow="1" w:lastRow="0" w:firstColumn="1" w:lastColumn="0" w:noHBand="0" w:noVBand="1"/>
      </w:tblPr>
      <w:tblGrid>
        <w:gridCol w:w="2676"/>
        <w:gridCol w:w="6596"/>
      </w:tblGrid>
      <w:tr w:rsidR="00771677" w:rsidRPr="00771677" w14:paraId="423831E5" w14:textId="77777777" w:rsidTr="00FB4A13">
        <w:trPr>
          <w:cantSplit/>
          <w:jc w:val="center"/>
        </w:trPr>
        <w:tc>
          <w:tcPr>
            <w:tcW w:w="2676" w:type="dxa"/>
            <w:hideMark/>
          </w:tcPr>
          <w:p w14:paraId="2B81C9FD" w14:textId="77777777" w:rsidR="00771677" w:rsidRPr="00771677" w:rsidRDefault="00771677" w:rsidP="00FB4A13">
            <w:pPr>
              <w:suppressAutoHyphens/>
              <w:spacing w:line="240" w:lineRule="auto"/>
              <w:rPr>
                <w:szCs w:val="24"/>
              </w:rPr>
            </w:pPr>
            <w:r w:rsidRPr="00771677">
              <w:rPr>
                <w:szCs w:val="24"/>
              </w:rPr>
              <w:t>To the Board:</w:t>
            </w:r>
          </w:p>
        </w:tc>
        <w:tc>
          <w:tcPr>
            <w:tcW w:w="6596" w:type="dxa"/>
            <w:hideMark/>
          </w:tcPr>
          <w:p w14:paraId="2D2EBE7C" w14:textId="77777777" w:rsidR="00771677" w:rsidRPr="00771677" w:rsidRDefault="00771677" w:rsidP="00FB4A13">
            <w:pPr>
              <w:suppressAutoHyphens/>
              <w:spacing w:after="0" w:line="240" w:lineRule="auto"/>
              <w:jc w:val="both"/>
              <w:rPr>
                <w:spacing w:val="-3"/>
                <w:szCs w:val="24"/>
              </w:rPr>
            </w:pPr>
            <w:r w:rsidRPr="00771677">
              <w:rPr>
                <w:spacing w:val="-3"/>
                <w:szCs w:val="24"/>
              </w:rPr>
              <w:t>Southern Arkansas University</w:t>
            </w:r>
          </w:p>
          <w:p w14:paraId="754E7123" w14:textId="77777777" w:rsidR="00771677" w:rsidRPr="00771677" w:rsidRDefault="00771677" w:rsidP="00FB4A13">
            <w:pPr>
              <w:suppressAutoHyphens/>
              <w:spacing w:after="0" w:line="240" w:lineRule="auto"/>
              <w:jc w:val="both"/>
              <w:rPr>
                <w:spacing w:val="-3"/>
                <w:szCs w:val="24"/>
              </w:rPr>
            </w:pPr>
            <w:r w:rsidRPr="00771677">
              <w:rPr>
                <w:spacing w:val="-3"/>
                <w:szCs w:val="24"/>
              </w:rPr>
              <w:t>100 E University St</w:t>
            </w:r>
          </w:p>
          <w:p w14:paraId="5D57409A" w14:textId="77777777" w:rsidR="00771677" w:rsidRPr="00771677" w:rsidRDefault="00771677" w:rsidP="00FB4A13">
            <w:pPr>
              <w:suppressAutoHyphens/>
              <w:spacing w:after="0" w:line="240" w:lineRule="auto"/>
              <w:jc w:val="both"/>
              <w:rPr>
                <w:spacing w:val="-3"/>
                <w:szCs w:val="24"/>
              </w:rPr>
            </w:pPr>
            <w:r w:rsidRPr="00771677">
              <w:rPr>
                <w:spacing w:val="-3"/>
                <w:szCs w:val="24"/>
              </w:rPr>
              <w:t>Magnolia, AR 71753-5000</w:t>
            </w:r>
          </w:p>
          <w:p w14:paraId="77563B91" w14:textId="77777777" w:rsidR="00771677" w:rsidRPr="00771677" w:rsidRDefault="00771677" w:rsidP="00FB4A13">
            <w:pPr>
              <w:suppressAutoHyphens/>
              <w:spacing w:line="240" w:lineRule="auto"/>
              <w:jc w:val="both"/>
              <w:rPr>
                <w:szCs w:val="24"/>
              </w:rPr>
            </w:pPr>
            <w:r w:rsidRPr="00771677">
              <w:rPr>
                <w:spacing w:val="-3"/>
                <w:szCs w:val="24"/>
              </w:rPr>
              <w:t>Attention: Vice President for Finance</w:t>
            </w:r>
          </w:p>
        </w:tc>
      </w:tr>
      <w:tr w:rsidR="00771677" w:rsidRPr="00771677" w14:paraId="53C2AA36" w14:textId="77777777" w:rsidTr="00FB4A13">
        <w:trPr>
          <w:cantSplit/>
          <w:jc w:val="center"/>
        </w:trPr>
        <w:tc>
          <w:tcPr>
            <w:tcW w:w="2676" w:type="dxa"/>
            <w:hideMark/>
          </w:tcPr>
          <w:p w14:paraId="00DF00BA" w14:textId="77777777" w:rsidR="00771677" w:rsidRPr="00771677" w:rsidRDefault="00771677" w:rsidP="00FB4A13">
            <w:pPr>
              <w:suppressAutoHyphens/>
              <w:spacing w:line="240" w:lineRule="auto"/>
              <w:rPr>
                <w:szCs w:val="24"/>
              </w:rPr>
            </w:pPr>
            <w:r w:rsidRPr="00771677">
              <w:rPr>
                <w:szCs w:val="24"/>
              </w:rPr>
              <w:t>To the Trustee:</w:t>
            </w:r>
          </w:p>
        </w:tc>
        <w:tc>
          <w:tcPr>
            <w:tcW w:w="6596" w:type="dxa"/>
            <w:hideMark/>
          </w:tcPr>
          <w:p w14:paraId="062B8D95" w14:textId="1A53F653" w:rsidR="00771677" w:rsidRPr="00771677" w:rsidRDefault="00771677" w:rsidP="00FB4A13">
            <w:pPr>
              <w:suppressAutoHyphens/>
              <w:spacing w:after="0" w:line="240" w:lineRule="auto"/>
              <w:rPr>
                <w:szCs w:val="24"/>
              </w:rPr>
            </w:pPr>
            <w:r w:rsidRPr="00771677">
              <w:rPr>
                <w:szCs w:val="24"/>
              </w:rPr>
              <w:t xml:space="preserve">Community First Trust </w:t>
            </w:r>
          </w:p>
          <w:p w14:paraId="4FE32E79" w14:textId="19836A52" w:rsidR="00771677" w:rsidRDefault="0036268D" w:rsidP="00FB4A13">
            <w:pPr>
              <w:suppressAutoHyphens/>
              <w:spacing w:after="0" w:line="240" w:lineRule="auto"/>
              <w:jc w:val="both"/>
              <w:rPr>
                <w:spacing w:val="-3"/>
                <w:szCs w:val="24"/>
                <w:u w:val="single"/>
              </w:rPr>
            </w:pPr>
            <w:r>
              <w:rPr>
                <w:spacing w:val="-3"/>
                <w:szCs w:val="24"/>
                <w:u w:val="single"/>
              </w:rPr>
              <w:t>____________________</w:t>
            </w:r>
          </w:p>
          <w:p w14:paraId="4E0EEF85" w14:textId="15F2D5CD" w:rsidR="0036268D" w:rsidRPr="0036268D" w:rsidRDefault="0036268D" w:rsidP="00FB4A13">
            <w:pPr>
              <w:suppressAutoHyphens/>
              <w:spacing w:after="0" w:line="240" w:lineRule="auto"/>
              <w:jc w:val="both"/>
              <w:rPr>
                <w:spacing w:val="-3"/>
                <w:szCs w:val="24"/>
                <w:u w:val="single"/>
              </w:rPr>
            </w:pPr>
            <w:r>
              <w:rPr>
                <w:spacing w:val="-3"/>
                <w:szCs w:val="24"/>
                <w:u w:val="single"/>
              </w:rPr>
              <w:t>____________________</w:t>
            </w:r>
          </w:p>
          <w:p w14:paraId="597AB6C6" w14:textId="03543E9A" w:rsidR="00771677" w:rsidRPr="00771677" w:rsidRDefault="00771677" w:rsidP="00FB4A13">
            <w:pPr>
              <w:suppressAutoHyphens/>
              <w:spacing w:line="240" w:lineRule="auto"/>
              <w:jc w:val="both"/>
              <w:rPr>
                <w:szCs w:val="24"/>
              </w:rPr>
            </w:pPr>
            <w:r w:rsidRPr="00771677">
              <w:rPr>
                <w:szCs w:val="24"/>
              </w:rPr>
              <w:t xml:space="preserve">Attn: </w:t>
            </w:r>
            <w:r w:rsidR="0036268D">
              <w:rPr>
                <w:szCs w:val="24"/>
              </w:rPr>
              <w:t>_______________</w:t>
            </w:r>
          </w:p>
        </w:tc>
      </w:tr>
    </w:tbl>
    <w:p w14:paraId="6E08C31D" w14:textId="77777777" w:rsidR="00771677" w:rsidRDefault="00771677" w:rsidP="00771677">
      <w:pPr>
        <w:suppressAutoHyphens/>
        <w:spacing w:line="240" w:lineRule="auto"/>
        <w:ind w:firstLine="360"/>
        <w:jc w:val="both"/>
        <w:rPr>
          <w:szCs w:val="24"/>
        </w:rPr>
      </w:pPr>
      <w:r w:rsidRPr="00771677">
        <w:rPr>
          <w:szCs w:val="24"/>
        </w:rPr>
        <w:t>Any person may, by written notice to the other persons listed above, designate a different address or telephone number to which subsequent notices or communications should be sent.</w:t>
      </w:r>
    </w:p>
    <w:p w14:paraId="55B6AF3F" w14:textId="4CDB8399" w:rsidR="0036268D" w:rsidRPr="00771677" w:rsidRDefault="0036268D" w:rsidP="0036268D">
      <w:pPr>
        <w:suppressAutoHyphens/>
        <w:spacing w:line="240" w:lineRule="auto"/>
        <w:ind w:firstLine="360"/>
        <w:jc w:val="center"/>
        <w:rPr>
          <w:szCs w:val="24"/>
        </w:rPr>
      </w:pPr>
      <w:r>
        <w:rPr>
          <w:szCs w:val="24"/>
        </w:rPr>
        <w:t>[Remainder of page intentionally blank; Signature pages to follow]</w:t>
      </w:r>
    </w:p>
    <w:p w14:paraId="5F4B7F22" w14:textId="1DEFF7B5" w:rsidR="00771677" w:rsidRPr="00771677" w:rsidRDefault="00771677" w:rsidP="00771677">
      <w:pPr>
        <w:suppressAutoHyphens/>
        <w:spacing w:line="240" w:lineRule="auto"/>
        <w:ind w:firstLine="360"/>
        <w:jc w:val="both"/>
        <w:rPr>
          <w:szCs w:val="24"/>
        </w:rPr>
      </w:pPr>
      <w:r w:rsidRPr="00771677">
        <w:rPr>
          <w:szCs w:val="24"/>
        </w:rPr>
        <w:lastRenderedPageBreak/>
        <w:t>IN WITNESS WHEREOF, the undersigned parties have executed this Continuing Disclosure Agreement as of the day and year first written above.</w:t>
      </w:r>
    </w:p>
    <w:p w14:paraId="6E59223A" w14:textId="33B5A514" w:rsidR="00771677" w:rsidRPr="00771677" w:rsidRDefault="00771677" w:rsidP="00771677">
      <w:pPr>
        <w:suppressAutoHyphens/>
        <w:spacing w:after="240" w:line="240" w:lineRule="auto"/>
        <w:ind w:left="5040"/>
        <w:rPr>
          <w:caps/>
          <w:szCs w:val="24"/>
        </w:rPr>
      </w:pPr>
      <w:r w:rsidRPr="00771677">
        <w:rPr>
          <w:b/>
          <w:szCs w:val="24"/>
        </w:rPr>
        <w:t>BOARD OF TRUSTEES OF</w:t>
      </w:r>
      <w:r w:rsidR="0036268D">
        <w:rPr>
          <w:b/>
          <w:szCs w:val="24"/>
        </w:rPr>
        <w:t xml:space="preserve"> </w:t>
      </w:r>
      <w:r w:rsidRPr="00771677">
        <w:rPr>
          <w:b/>
          <w:szCs w:val="24"/>
        </w:rPr>
        <w:t>SOUTHERN ARKANSAS UNIVERSITY</w:t>
      </w:r>
      <w:r w:rsidRPr="00771677">
        <w:rPr>
          <w:szCs w:val="24"/>
        </w:rPr>
        <w:t>, Iss</w:t>
      </w:r>
      <w:r w:rsidR="00AA74F4">
        <w:rPr>
          <w:szCs w:val="24"/>
        </w:rPr>
        <w:t>uer</w:t>
      </w:r>
    </w:p>
    <w:p w14:paraId="6C82F3F8" w14:textId="77777777" w:rsidR="00771677" w:rsidRPr="00771677" w:rsidRDefault="00771677" w:rsidP="00771677">
      <w:pPr>
        <w:tabs>
          <w:tab w:val="right" w:pos="9360"/>
        </w:tabs>
        <w:suppressAutoHyphens/>
        <w:spacing w:after="0" w:line="240" w:lineRule="auto"/>
        <w:ind w:left="5040"/>
        <w:rPr>
          <w:szCs w:val="24"/>
        </w:rPr>
      </w:pPr>
      <w:r w:rsidRPr="00771677">
        <w:rPr>
          <w:szCs w:val="24"/>
        </w:rPr>
        <w:t xml:space="preserve">By: </w:t>
      </w:r>
      <w:r w:rsidRPr="00771677">
        <w:rPr>
          <w:szCs w:val="24"/>
          <w:u w:val="single"/>
        </w:rPr>
        <w:tab/>
      </w:r>
    </w:p>
    <w:p w14:paraId="76D65652" w14:textId="4F06AC83" w:rsidR="00771677" w:rsidRPr="00771677" w:rsidRDefault="00771677" w:rsidP="00771677">
      <w:pPr>
        <w:suppressAutoHyphens/>
        <w:spacing w:after="240" w:line="240" w:lineRule="auto"/>
        <w:ind w:left="5040"/>
        <w:jc w:val="center"/>
        <w:rPr>
          <w:szCs w:val="24"/>
        </w:rPr>
      </w:pPr>
      <w:r w:rsidRPr="00771677">
        <w:rPr>
          <w:szCs w:val="24"/>
        </w:rPr>
        <w:t xml:space="preserve">Dr. </w:t>
      </w:r>
      <w:r w:rsidRPr="00771677">
        <w:rPr>
          <w:szCs w:val="24"/>
        </w:rPr>
        <w:t>Bruno Hicks</w:t>
      </w:r>
      <w:r w:rsidRPr="00771677">
        <w:rPr>
          <w:szCs w:val="24"/>
        </w:rPr>
        <w:t xml:space="preserve"> President</w:t>
      </w:r>
    </w:p>
    <w:p w14:paraId="17BA70EB" w14:textId="77777777" w:rsidR="00771677" w:rsidRPr="00771677" w:rsidRDefault="00771677" w:rsidP="00771677">
      <w:pPr>
        <w:suppressAutoHyphens/>
        <w:spacing w:after="240" w:line="240" w:lineRule="auto"/>
        <w:ind w:left="5040"/>
        <w:jc w:val="center"/>
        <w:rPr>
          <w:szCs w:val="24"/>
        </w:rPr>
      </w:pPr>
    </w:p>
    <w:p w14:paraId="668A94DA" w14:textId="77777777" w:rsidR="00771677" w:rsidRPr="00771677" w:rsidRDefault="00771677" w:rsidP="00771677">
      <w:pPr>
        <w:spacing w:after="160" w:line="259" w:lineRule="auto"/>
        <w:rPr>
          <w:szCs w:val="24"/>
        </w:rPr>
      </w:pPr>
      <w:r w:rsidRPr="00771677">
        <w:rPr>
          <w:szCs w:val="24"/>
        </w:rPr>
        <w:br w:type="page"/>
      </w:r>
    </w:p>
    <w:p w14:paraId="6D7D52D9" w14:textId="77777777" w:rsidR="00771677" w:rsidRPr="00771677" w:rsidRDefault="00771677" w:rsidP="00771677">
      <w:pPr>
        <w:suppressAutoHyphens/>
        <w:spacing w:after="240" w:line="240" w:lineRule="auto"/>
        <w:ind w:left="5040"/>
        <w:jc w:val="center"/>
        <w:rPr>
          <w:szCs w:val="24"/>
        </w:rPr>
      </w:pPr>
    </w:p>
    <w:p w14:paraId="7BE03EFF" w14:textId="02BE4348" w:rsidR="00771677" w:rsidRPr="00771677" w:rsidRDefault="00771677" w:rsidP="00771677">
      <w:pPr>
        <w:suppressAutoHyphens/>
        <w:spacing w:after="240" w:line="240" w:lineRule="auto"/>
        <w:ind w:left="5040"/>
        <w:rPr>
          <w:caps/>
          <w:szCs w:val="24"/>
        </w:rPr>
      </w:pPr>
      <w:r w:rsidRPr="00771677">
        <w:rPr>
          <w:b/>
          <w:szCs w:val="24"/>
        </w:rPr>
        <w:t>COMMUNITY FIRST TRUST</w:t>
      </w:r>
      <w:r w:rsidRPr="00771677">
        <w:rPr>
          <w:szCs w:val="24"/>
        </w:rPr>
        <w:t>, Trustee</w:t>
      </w:r>
    </w:p>
    <w:p w14:paraId="3C370D25" w14:textId="374E7112" w:rsidR="00771677" w:rsidRPr="00771677" w:rsidRDefault="00771677" w:rsidP="00771677">
      <w:pPr>
        <w:tabs>
          <w:tab w:val="right" w:pos="9360"/>
        </w:tabs>
        <w:suppressAutoHyphens/>
        <w:spacing w:after="0" w:line="240" w:lineRule="auto"/>
        <w:ind w:left="5040"/>
        <w:rPr>
          <w:szCs w:val="24"/>
          <w:u w:val="single"/>
        </w:rPr>
      </w:pPr>
      <w:r w:rsidRPr="00771677">
        <w:rPr>
          <w:szCs w:val="24"/>
        </w:rPr>
        <w:t xml:space="preserve">By: </w:t>
      </w:r>
      <w:r w:rsidRPr="00771677">
        <w:rPr>
          <w:szCs w:val="24"/>
          <w:u w:val="single"/>
        </w:rPr>
        <w:tab/>
      </w:r>
    </w:p>
    <w:p w14:paraId="5FAA5CA8" w14:textId="5FD37C61" w:rsidR="00771677" w:rsidRPr="00771677" w:rsidRDefault="00771677" w:rsidP="00771677">
      <w:pPr>
        <w:tabs>
          <w:tab w:val="right" w:pos="9360"/>
        </w:tabs>
        <w:suppressAutoHyphens/>
        <w:spacing w:after="0" w:line="240" w:lineRule="auto"/>
        <w:ind w:left="5040"/>
        <w:rPr>
          <w:szCs w:val="24"/>
          <w:u w:val="single"/>
        </w:rPr>
      </w:pPr>
      <w:r w:rsidRPr="00771677">
        <w:rPr>
          <w:szCs w:val="24"/>
        </w:rPr>
        <w:t xml:space="preserve">Name: </w:t>
      </w:r>
      <w:r w:rsidRPr="00771677">
        <w:rPr>
          <w:szCs w:val="24"/>
          <w:u w:val="single"/>
        </w:rPr>
        <w:tab/>
      </w:r>
    </w:p>
    <w:p w14:paraId="691EFA7F" w14:textId="184CC026" w:rsidR="00771677" w:rsidRPr="00771677" w:rsidRDefault="00771677" w:rsidP="00771677">
      <w:pPr>
        <w:tabs>
          <w:tab w:val="right" w:pos="9360"/>
        </w:tabs>
        <w:suppressAutoHyphens/>
        <w:spacing w:after="0" w:line="240" w:lineRule="auto"/>
        <w:ind w:left="5040"/>
        <w:rPr>
          <w:szCs w:val="24"/>
          <w:u w:val="single"/>
        </w:rPr>
      </w:pPr>
      <w:r w:rsidRPr="00771677">
        <w:rPr>
          <w:szCs w:val="24"/>
        </w:rPr>
        <w:t xml:space="preserve">Title: </w:t>
      </w:r>
      <w:r w:rsidRPr="00771677">
        <w:rPr>
          <w:szCs w:val="24"/>
          <w:u w:val="single"/>
        </w:rPr>
        <w:tab/>
      </w:r>
    </w:p>
    <w:p w14:paraId="2700252D" w14:textId="77777777" w:rsidR="00771677" w:rsidRPr="00771677" w:rsidRDefault="00771677" w:rsidP="00771677">
      <w:pPr>
        <w:kinsoku w:val="0"/>
        <w:overflowPunct w:val="0"/>
        <w:spacing w:before="635" w:after="256" w:line="217" w:lineRule="exact"/>
        <w:ind w:left="72"/>
        <w:jc w:val="center"/>
        <w:textAlignment w:val="baseline"/>
        <w:rPr>
          <w:b/>
          <w:bCs/>
          <w:spacing w:val="6"/>
          <w:szCs w:val="24"/>
        </w:rPr>
      </w:pPr>
    </w:p>
    <w:p w14:paraId="4B9EF5EE" w14:textId="77777777" w:rsidR="00771677" w:rsidRPr="00771677" w:rsidRDefault="00771677" w:rsidP="00771677">
      <w:pPr>
        <w:kinsoku w:val="0"/>
        <w:overflowPunct w:val="0"/>
        <w:spacing w:before="635" w:after="256" w:line="217" w:lineRule="exact"/>
        <w:ind w:left="72"/>
        <w:jc w:val="center"/>
        <w:textAlignment w:val="baseline"/>
        <w:rPr>
          <w:b/>
          <w:bCs/>
          <w:spacing w:val="6"/>
          <w:szCs w:val="24"/>
        </w:rPr>
      </w:pPr>
    </w:p>
    <w:p w14:paraId="2C4D8959" w14:textId="77777777" w:rsidR="00771677" w:rsidRPr="00771677" w:rsidRDefault="00771677" w:rsidP="00771677">
      <w:pPr>
        <w:kinsoku w:val="0"/>
        <w:overflowPunct w:val="0"/>
        <w:spacing w:before="635" w:after="256" w:line="217" w:lineRule="exact"/>
        <w:ind w:left="72"/>
        <w:jc w:val="center"/>
        <w:textAlignment w:val="baseline"/>
        <w:rPr>
          <w:b/>
          <w:bCs/>
          <w:spacing w:val="6"/>
          <w:szCs w:val="24"/>
        </w:rPr>
      </w:pPr>
    </w:p>
    <w:p w14:paraId="359AE5A9" w14:textId="77777777" w:rsidR="00771677" w:rsidRPr="00771677" w:rsidRDefault="00771677" w:rsidP="00771677">
      <w:pPr>
        <w:kinsoku w:val="0"/>
        <w:overflowPunct w:val="0"/>
        <w:spacing w:before="635" w:after="256" w:line="217" w:lineRule="exact"/>
        <w:ind w:left="72"/>
        <w:jc w:val="center"/>
        <w:textAlignment w:val="baseline"/>
        <w:rPr>
          <w:b/>
          <w:bCs/>
          <w:spacing w:val="6"/>
          <w:szCs w:val="24"/>
        </w:rPr>
      </w:pPr>
    </w:p>
    <w:p w14:paraId="1269656E" w14:textId="77777777" w:rsidR="00771677" w:rsidRPr="00771677" w:rsidRDefault="00771677" w:rsidP="00771677">
      <w:pPr>
        <w:kinsoku w:val="0"/>
        <w:overflowPunct w:val="0"/>
        <w:spacing w:before="635" w:after="256" w:line="217" w:lineRule="exact"/>
        <w:ind w:left="72"/>
        <w:jc w:val="center"/>
        <w:textAlignment w:val="baseline"/>
        <w:rPr>
          <w:b/>
          <w:bCs/>
          <w:spacing w:val="6"/>
          <w:szCs w:val="24"/>
        </w:rPr>
      </w:pPr>
    </w:p>
    <w:p w14:paraId="7064E90D" w14:textId="77777777" w:rsidR="00771677" w:rsidRPr="00771677" w:rsidRDefault="00771677" w:rsidP="00771677">
      <w:pPr>
        <w:kinsoku w:val="0"/>
        <w:overflowPunct w:val="0"/>
        <w:spacing w:before="635" w:after="256" w:line="217" w:lineRule="exact"/>
        <w:textAlignment w:val="baseline"/>
        <w:rPr>
          <w:b/>
          <w:bCs/>
          <w:spacing w:val="6"/>
          <w:szCs w:val="24"/>
        </w:rPr>
      </w:pPr>
    </w:p>
    <w:p w14:paraId="6A4D8B7C" w14:textId="77777777" w:rsidR="00771677" w:rsidRPr="00771677" w:rsidRDefault="00771677" w:rsidP="00771677">
      <w:pPr>
        <w:kinsoku w:val="0"/>
        <w:overflowPunct w:val="0"/>
        <w:spacing w:before="635" w:after="256" w:line="217" w:lineRule="exact"/>
        <w:textAlignment w:val="baseline"/>
        <w:rPr>
          <w:b/>
          <w:bCs/>
          <w:spacing w:val="6"/>
          <w:szCs w:val="24"/>
        </w:rPr>
      </w:pPr>
    </w:p>
    <w:p w14:paraId="3BED0650" w14:textId="77777777" w:rsidR="00771677" w:rsidRPr="00771677" w:rsidRDefault="00771677" w:rsidP="00771677">
      <w:pPr>
        <w:kinsoku w:val="0"/>
        <w:overflowPunct w:val="0"/>
        <w:spacing w:before="635" w:after="256" w:line="217" w:lineRule="exact"/>
        <w:textAlignment w:val="baseline"/>
        <w:rPr>
          <w:b/>
          <w:bCs/>
          <w:spacing w:val="6"/>
          <w:szCs w:val="24"/>
        </w:rPr>
      </w:pPr>
    </w:p>
    <w:p w14:paraId="0F1804FB" w14:textId="77777777" w:rsidR="00771677" w:rsidRPr="00771677" w:rsidRDefault="00771677" w:rsidP="00771677">
      <w:pPr>
        <w:kinsoku w:val="0"/>
        <w:overflowPunct w:val="0"/>
        <w:spacing w:before="635" w:after="256" w:line="217" w:lineRule="exact"/>
        <w:jc w:val="center"/>
        <w:textAlignment w:val="baseline"/>
        <w:rPr>
          <w:bCs/>
          <w:spacing w:val="6"/>
          <w:szCs w:val="24"/>
        </w:rPr>
      </w:pPr>
      <w:r w:rsidRPr="0036268D">
        <w:rPr>
          <w:bCs/>
          <w:szCs w:val="24"/>
        </w:rPr>
        <w:t>[Trustee Signature Page to Continuing Disclosure Agreement</w:t>
      </w:r>
      <w:r w:rsidRPr="00771677">
        <w:rPr>
          <w:bCs/>
          <w:spacing w:val="6"/>
          <w:szCs w:val="24"/>
        </w:rPr>
        <w:t>]</w:t>
      </w:r>
    </w:p>
    <w:p w14:paraId="2783C376" w14:textId="77777777" w:rsidR="00771677" w:rsidRPr="00771677" w:rsidRDefault="00771677" w:rsidP="00771677">
      <w:pPr>
        <w:spacing w:after="160" w:line="259" w:lineRule="auto"/>
        <w:rPr>
          <w:b/>
          <w:bCs/>
          <w:spacing w:val="6"/>
          <w:szCs w:val="24"/>
        </w:rPr>
      </w:pPr>
      <w:r w:rsidRPr="00771677">
        <w:rPr>
          <w:b/>
          <w:bCs/>
          <w:spacing w:val="6"/>
          <w:szCs w:val="24"/>
        </w:rPr>
        <w:br w:type="page"/>
      </w:r>
    </w:p>
    <w:p w14:paraId="04EE5B24" w14:textId="77777777" w:rsidR="00771677" w:rsidRPr="0036268D" w:rsidRDefault="00771677" w:rsidP="00771677">
      <w:pPr>
        <w:kinsoku w:val="0"/>
        <w:overflowPunct w:val="0"/>
        <w:spacing w:before="635" w:after="256" w:line="217" w:lineRule="exact"/>
        <w:jc w:val="center"/>
        <w:textAlignment w:val="baseline"/>
        <w:rPr>
          <w:rFonts w:ascii="Times New Roman Bold" w:hAnsi="Times New Roman Bold"/>
          <w:b/>
          <w:bCs/>
          <w:szCs w:val="24"/>
        </w:rPr>
      </w:pPr>
      <w:r w:rsidRPr="0036268D">
        <w:rPr>
          <w:rFonts w:ascii="Times New Roman Bold" w:hAnsi="Times New Roman Bold"/>
          <w:b/>
          <w:bCs/>
          <w:szCs w:val="24"/>
        </w:rPr>
        <w:lastRenderedPageBreak/>
        <w:t>Exhibit A to Continuing Disclosure Agreement</w:t>
      </w:r>
    </w:p>
    <w:p w14:paraId="472B1C51" w14:textId="77777777" w:rsidR="00771677" w:rsidRPr="0036268D" w:rsidRDefault="00771677" w:rsidP="00771677">
      <w:pPr>
        <w:kinsoku w:val="0"/>
        <w:overflowPunct w:val="0"/>
        <w:spacing w:before="635" w:after="256" w:line="217" w:lineRule="exact"/>
        <w:ind w:left="72"/>
        <w:jc w:val="center"/>
        <w:textAlignment w:val="baseline"/>
        <w:rPr>
          <w:rFonts w:ascii="Times New Roman Bold" w:hAnsi="Times New Roman Bold"/>
          <w:b/>
          <w:bCs/>
          <w:szCs w:val="24"/>
        </w:rPr>
      </w:pPr>
      <w:r w:rsidRPr="0036268D">
        <w:rPr>
          <w:rFonts w:ascii="Times New Roman Bold" w:hAnsi="Times New Roman Bold"/>
          <w:b/>
          <w:bCs/>
          <w:szCs w:val="24"/>
        </w:rPr>
        <w:t>Annual Report</w:t>
      </w:r>
    </w:p>
    <w:tbl>
      <w:tblPr>
        <w:tblW w:w="0" w:type="auto"/>
        <w:jc w:val="center"/>
        <w:tblLayout w:type="fixed"/>
        <w:tblCellMar>
          <w:left w:w="0" w:type="dxa"/>
          <w:right w:w="0" w:type="dxa"/>
        </w:tblCellMar>
        <w:tblLook w:val="0000" w:firstRow="0" w:lastRow="0" w:firstColumn="0" w:lastColumn="0" w:noHBand="0" w:noVBand="0"/>
      </w:tblPr>
      <w:tblGrid>
        <w:gridCol w:w="5054"/>
        <w:gridCol w:w="2751"/>
      </w:tblGrid>
      <w:tr w:rsidR="00771677" w:rsidRPr="00771677" w14:paraId="443EF2F5" w14:textId="77777777" w:rsidTr="00FB4A13">
        <w:trPr>
          <w:trHeight w:hRule="exact" w:val="293"/>
          <w:jc w:val="center"/>
        </w:trPr>
        <w:tc>
          <w:tcPr>
            <w:tcW w:w="5054" w:type="dxa"/>
            <w:tcBorders>
              <w:top w:val="single" w:sz="9" w:space="0" w:color="auto"/>
              <w:left w:val="single" w:sz="9" w:space="0" w:color="auto"/>
              <w:bottom w:val="single" w:sz="9" w:space="0" w:color="auto"/>
              <w:right w:val="single" w:sz="9" w:space="0" w:color="auto"/>
            </w:tcBorders>
          </w:tcPr>
          <w:p w14:paraId="5BEA17A8" w14:textId="77777777" w:rsidR="00771677" w:rsidRPr="00771677" w:rsidRDefault="00771677" w:rsidP="00FB4A13">
            <w:pPr>
              <w:kinsoku w:val="0"/>
              <w:overflowPunct w:val="0"/>
              <w:textAlignment w:val="baseline"/>
              <w:rPr>
                <w:szCs w:val="24"/>
              </w:rPr>
            </w:pPr>
          </w:p>
        </w:tc>
        <w:tc>
          <w:tcPr>
            <w:tcW w:w="2751" w:type="dxa"/>
            <w:tcBorders>
              <w:top w:val="single" w:sz="9" w:space="0" w:color="auto"/>
              <w:left w:val="single" w:sz="9" w:space="0" w:color="auto"/>
              <w:bottom w:val="single" w:sz="9" w:space="0" w:color="auto"/>
              <w:right w:val="single" w:sz="9" w:space="0" w:color="auto"/>
            </w:tcBorders>
            <w:vAlign w:val="center"/>
          </w:tcPr>
          <w:p w14:paraId="3E9A65C4" w14:textId="77777777" w:rsidR="00771677" w:rsidRPr="00771677" w:rsidRDefault="00771677" w:rsidP="00FB4A13">
            <w:pPr>
              <w:kinsoku w:val="0"/>
              <w:overflowPunct w:val="0"/>
              <w:spacing w:before="37" w:after="34" w:line="212" w:lineRule="exact"/>
              <w:ind w:right="849"/>
              <w:jc w:val="right"/>
              <w:textAlignment w:val="baseline"/>
              <w:rPr>
                <w:szCs w:val="24"/>
              </w:rPr>
            </w:pPr>
            <w:r w:rsidRPr="00771677">
              <w:rPr>
                <w:szCs w:val="24"/>
              </w:rPr>
              <w:t>FYE 6-30-20__</w:t>
            </w:r>
          </w:p>
        </w:tc>
      </w:tr>
      <w:tr w:rsidR="00771677" w:rsidRPr="00771677" w14:paraId="45CAADF2" w14:textId="77777777" w:rsidTr="00FB4A13">
        <w:trPr>
          <w:trHeight w:hRule="exact" w:val="283"/>
          <w:jc w:val="center"/>
        </w:trPr>
        <w:tc>
          <w:tcPr>
            <w:tcW w:w="5054" w:type="dxa"/>
            <w:tcBorders>
              <w:top w:val="single" w:sz="9" w:space="0" w:color="auto"/>
              <w:left w:val="single" w:sz="9" w:space="0" w:color="auto"/>
              <w:bottom w:val="single" w:sz="9" w:space="0" w:color="auto"/>
              <w:right w:val="single" w:sz="9" w:space="0" w:color="auto"/>
            </w:tcBorders>
            <w:vAlign w:val="center"/>
          </w:tcPr>
          <w:p w14:paraId="3DFB8A47" w14:textId="77777777" w:rsidR="00771677" w:rsidRPr="00771677" w:rsidRDefault="00771677" w:rsidP="00FB4A13">
            <w:pPr>
              <w:kinsoku w:val="0"/>
              <w:overflowPunct w:val="0"/>
              <w:spacing w:after="38" w:line="212" w:lineRule="exact"/>
              <w:ind w:left="53"/>
              <w:textAlignment w:val="baseline"/>
              <w:rPr>
                <w:szCs w:val="24"/>
              </w:rPr>
            </w:pPr>
            <w:r w:rsidRPr="00771677">
              <w:rPr>
                <w:szCs w:val="24"/>
              </w:rPr>
              <w:t>Statistics:</w:t>
            </w:r>
          </w:p>
        </w:tc>
        <w:tc>
          <w:tcPr>
            <w:tcW w:w="2751" w:type="dxa"/>
            <w:tcBorders>
              <w:top w:val="single" w:sz="9" w:space="0" w:color="auto"/>
              <w:left w:val="single" w:sz="9" w:space="0" w:color="auto"/>
              <w:bottom w:val="single" w:sz="9" w:space="0" w:color="auto"/>
              <w:right w:val="single" w:sz="9" w:space="0" w:color="auto"/>
            </w:tcBorders>
            <w:vAlign w:val="center"/>
          </w:tcPr>
          <w:p w14:paraId="75F4A77F" w14:textId="77777777" w:rsidR="00771677" w:rsidRPr="00771677" w:rsidRDefault="00771677" w:rsidP="00FB4A13">
            <w:pPr>
              <w:tabs>
                <w:tab w:val="left" w:pos="1584"/>
              </w:tabs>
              <w:kinsoku w:val="0"/>
              <w:overflowPunct w:val="0"/>
              <w:spacing w:before="37" w:after="29" w:line="212" w:lineRule="exact"/>
              <w:ind w:left="437"/>
              <w:textAlignment w:val="baseline"/>
              <w:rPr>
                <w:szCs w:val="24"/>
              </w:rPr>
            </w:pPr>
            <w:r w:rsidRPr="00771677">
              <w:rPr>
                <w:szCs w:val="24"/>
              </w:rPr>
              <w:t>Count</w:t>
            </w:r>
            <w:r w:rsidRPr="00771677">
              <w:rPr>
                <w:szCs w:val="24"/>
              </w:rPr>
              <w:tab/>
              <w:t>Enrollment</w:t>
            </w:r>
          </w:p>
        </w:tc>
      </w:tr>
      <w:tr w:rsidR="00771677" w:rsidRPr="00771677" w14:paraId="74C38F97" w14:textId="77777777" w:rsidTr="00FB4A13">
        <w:trPr>
          <w:trHeight w:hRule="exact" w:val="278"/>
          <w:jc w:val="center"/>
        </w:trPr>
        <w:tc>
          <w:tcPr>
            <w:tcW w:w="5054" w:type="dxa"/>
            <w:tcBorders>
              <w:top w:val="single" w:sz="9" w:space="0" w:color="auto"/>
              <w:left w:val="single" w:sz="9" w:space="0" w:color="auto"/>
              <w:bottom w:val="single" w:sz="9" w:space="0" w:color="auto"/>
              <w:right w:val="single" w:sz="9" w:space="0" w:color="auto"/>
            </w:tcBorders>
            <w:vAlign w:val="center"/>
          </w:tcPr>
          <w:p w14:paraId="0B7FEBAB" w14:textId="77777777" w:rsidR="00771677" w:rsidRPr="00771677" w:rsidRDefault="00771677" w:rsidP="00FB4A13">
            <w:pPr>
              <w:kinsoku w:val="0"/>
              <w:overflowPunct w:val="0"/>
              <w:spacing w:after="29" w:line="212" w:lineRule="exact"/>
              <w:ind w:left="233"/>
              <w:textAlignment w:val="baseline"/>
              <w:rPr>
                <w:szCs w:val="24"/>
              </w:rPr>
            </w:pPr>
            <w:r w:rsidRPr="00771677">
              <w:rPr>
                <w:szCs w:val="24"/>
              </w:rPr>
              <w:t>Second Summer</w:t>
            </w:r>
          </w:p>
        </w:tc>
        <w:tc>
          <w:tcPr>
            <w:tcW w:w="2751" w:type="dxa"/>
            <w:tcBorders>
              <w:top w:val="single" w:sz="9" w:space="0" w:color="auto"/>
              <w:left w:val="single" w:sz="9" w:space="0" w:color="auto"/>
              <w:bottom w:val="single" w:sz="9" w:space="0" w:color="auto"/>
              <w:right w:val="single" w:sz="9" w:space="0" w:color="auto"/>
            </w:tcBorders>
            <w:vAlign w:val="center"/>
          </w:tcPr>
          <w:p w14:paraId="4580AEED" w14:textId="77777777" w:rsidR="00771677" w:rsidRPr="00771677" w:rsidRDefault="00771677" w:rsidP="00FB4A13">
            <w:pPr>
              <w:tabs>
                <w:tab w:val="left" w:pos="1800"/>
              </w:tabs>
              <w:kinsoku w:val="0"/>
              <w:overflowPunct w:val="0"/>
              <w:spacing w:before="37" w:after="19" w:line="213" w:lineRule="exact"/>
              <w:ind w:left="437"/>
              <w:textAlignment w:val="baseline"/>
              <w:rPr>
                <w:szCs w:val="24"/>
              </w:rPr>
            </w:pPr>
          </w:p>
        </w:tc>
      </w:tr>
      <w:tr w:rsidR="00771677" w:rsidRPr="00771677" w14:paraId="59187387" w14:textId="77777777" w:rsidTr="00FB4A13">
        <w:trPr>
          <w:trHeight w:hRule="exact" w:val="279"/>
          <w:jc w:val="center"/>
        </w:trPr>
        <w:tc>
          <w:tcPr>
            <w:tcW w:w="5054" w:type="dxa"/>
            <w:tcBorders>
              <w:top w:val="single" w:sz="9" w:space="0" w:color="auto"/>
              <w:left w:val="single" w:sz="9" w:space="0" w:color="auto"/>
              <w:bottom w:val="single" w:sz="9" w:space="0" w:color="auto"/>
              <w:right w:val="single" w:sz="9" w:space="0" w:color="auto"/>
            </w:tcBorders>
            <w:vAlign w:val="center"/>
          </w:tcPr>
          <w:p w14:paraId="0D68775D" w14:textId="77777777" w:rsidR="00771677" w:rsidRPr="00771677" w:rsidRDefault="00771677" w:rsidP="00FB4A13">
            <w:pPr>
              <w:kinsoku w:val="0"/>
              <w:overflowPunct w:val="0"/>
              <w:spacing w:after="24" w:line="212" w:lineRule="exact"/>
              <w:ind w:left="233"/>
              <w:textAlignment w:val="baseline"/>
              <w:rPr>
                <w:szCs w:val="24"/>
              </w:rPr>
            </w:pPr>
            <w:r w:rsidRPr="00771677">
              <w:rPr>
                <w:szCs w:val="24"/>
              </w:rPr>
              <w:t>Fall</w:t>
            </w:r>
          </w:p>
        </w:tc>
        <w:tc>
          <w:tcPr>
            <w:tcW w:w="2751" w:type="dxa"/>
            <w:tcBorders>
              <w:top w:val="single" w:sz="9" w:space="0" w:color="auto"/>
              <w:left w:val="single" w:sz="9" w:space="0" w:color="auto"/>
              <w:bottom w:val="single" w:sz="9" w:space="0" w:color="auto"/>
              <w:right w:val="single" w:sz="9" w:space="0" w:color="auto"/>
            </w:tcBorders>
            <w:vAlign w:val="center"/>
          </w:tcPr>
          <w:p w14:paraId="7BB7E6A6" w14:textId="77777777" w:rsidR="00771677" w:rsidRPr="00771677" w:rsidRDefault="00771677" w:rsidP="00FB4A13">
            <w:pPr>
              <w:tabs>
                <w:tab w:val="left" w:pos="1728"/>
              </w:tabs>
              <w:kinsoku w:val="0"/>
              <w:overflowPunct w:val="0"/>
              <w:spacing w:before="38" w:after="14" w:line="212" w:lineRule="exact"/>
              <w:ind w:left="437"/>
              <w:textAlignment w:val="baseline"/>
              <w:rPr>
                <w:szCs w:val="24"/>
              </w:rPr>
            </w:pPr>
          </w:p>
        </w:tc>
      </w:tr>
      <w:tr w:rsidR="00771677" w:rsidRPr="00771677" w14:paraId="10A8C582" w14:textId="77777777" w:rsidTr="00FB4A13">
        <w:trPr>
          <w:trHeight w:hRule="exact" w:val="283"/>
          <w:jc w:val="center"/>
        </w:trPr>
        <w:tc>
          <w:tcPr>
            <w:tcW w:w="5054" w:type="dxa"/>
            <w:tcBorders>
              <w:top w:val="single" w:sz="9" w:space="0" w:color="auto"/>
              <w:left w:val="single" w:sz="9" w:space="0" w:color="auto"/>
              <w:bottom w:val="single" w:sz="9" w:space="0" w:color="auto"/>
              <w:right w:val="single" w:sz="9" w:space="0" w:color="auto"/>
            </w:tcBorders>
            <w:vAlign w:val="center"/>
          </w:tcPr>
          <w:p w14:paraId="1A14DA63" w14:textId="77777777" w:rsidR="00771677" w:rsidRPr="00771677" w:rsidRDefault="00771677" w:rsidP="00FB4A13">
            <w:pPr>
              <w:kinsoku w:val="0"/>
              <w:overflowPunct w:val="0"/>
              <w:spacing w:after="28" w:line="217" w:lineRule="exact"/>
              <w:ind w:left="233"/>
              <w:textAlignment w:val="baseline"/>
              <w:rPr>
                <w:szCs w:val="24"/>
              </w:rPr>
            </w:pPr>
            <w:r w:rsidRPr="00771677">
              <w:rPr>
                <w:szCs w:val="24"/>
              </w:rPr>
              <w:t>Spring</w:t>
            </w:r>
          </w:p>
        </w:tc>
        <w:tc>
          <w:tcPr>
            <w:tcW w:w="2751" w:type="dxa"/>
            <w:tcBorders>
              <w:top w:val="single" w:sz="9" w:space="0" w:color="auto"/>
              <w:left w:val="single" w:sz="9" w:space="0" w:color="auto"/>
              <w:bottom w:val="single" w:sz="9" w:space="0" w:color="auto"/>
              <w:right w:val="single" w:sz="9" w:space="0" w:color="auto"/>
            </w:tcBorders>
            <w:vAlign w:val="center"/>
          </w:tcPr>
          <w:p w14:paraId="2D0AC15D" w14:textId="77777777" w:rsidR="00771677" w:rsidRPr="00771677" w:rsidRDefault="00771677" w:rsidP="00FB4A13">
            <w:pPr>
              <w:tabs>
                <w:tab w:val="left" w:pos="1728"/>
              </w:tabs>
              <w:kinsoku w:val="0"/>
              <w:overflowPunct w:val="0"/>
              <w:spacing w:before="37" w:after="23" w:line="213" w:lineRule="exact"/>
              <w:ind w:left="437"/>
              <w:textAlignment w:val="baseline"/>
              <w:rPr>
                <w:szCs w:val="24"/>
              </w:rPr>
            </w:pPr>
          </w:p>
        </w:tc>
      </w:tr>
      <w:tr w:rsidR="00771677" w:rsidRPr="00771677" w14:paraId="01C4431B" w14:textId="77777777" w:rsidTr="00FB4A13">
        <w:trPr>
          <w:trHeight w:hRule="exact" w:val="283"/>
          <w:jc w:val="center"/>
        </w:trPr>
        <w:tc>
          <w:tcPr>
            <w:tcW w:w="5054" w:type="dxa"/>
            <w:tcBorders>
              <w:top w:val="single" w:sz="9" w:space="0" w:color="auto"/>
              <w:left w:val="single" w:sz="9" w:space="0" w:color="auto"/>
              <w:bottom w:val="single" w:sz="9" w:space="0" w:color="auto"/>
              <w:right w:val="single" w:sz="9" w:space="0" w:color="auto"/>
            </w:tcBorders>
            <w:vAlign w:val="center"/>
          </w:tcPr>
          <w:p w14:paraId="35ADD2F6" w14:textId="77777777" w:rsidR="00771677" w:rsidRPr="00771677" w:rsidRDefault="00771677" w:rsidP="00FB4A13">
            <w:pPr>
              <w:kinsoku w:val="0"/>
              <w:overflowPunct w:val="0"/>
              <w:spacing w:after="38" w:line="212" w:lineRule="exact"/>
              <w:ind w:left="233"/>
              <w:textAlignment w:val="baseline"/>
              <w:rPr>
                <w:szCs w:val="24"/>
              </w:rPr>
            </w:pPr>
            <w:r w:rsidRPr="00771677">
              <w:rPr>
                <w:szCs w:val="24"/>
              </w:rPr>
              <w:t>First Summer</w:t>
            </w:r>
          </w:p>
        </w:tc>
        <w:tc>
          <w:tcPr>
            <w:tcW w:w="2751" w:type="dxa"/>
            <w:tcBorders>
              <w:top w:val="single" w:sz="9" w:space="0" w:color="auto"/>
              <w:left w:val="single" w:sz="9" w:space="0" w:color="auto"/>
              <w:bottom w:val="single" w:sz="9" w:space="0" w:color="auto"/>
              <w:right w:val="single" w:sz="9" w:space="0" w:color="auto"/>
            </w:tcBorders>
            <w:vAlign w:val="center"/>
          </w:tcPr>
          <w:p w14:paraId="6882ECD3" w14:textId="77777777" w:rsidR="00771677" w:rsidRPr="00771677" w:rsidRDefault="00771677" w:rsidP="00FB4A13">
            <w:pPr>
              <w:tabs>
                <w:tab w:val="left" w:pos="1800"/>
              </w:tabs>
              <w:kinsoku w:val="0"/>
              <w:overflowPunct w:val="0"/>
              <w:spacing w:before="37" w:after="28" w:line="213" w:lineRule="exact"/>
              <w:ind w:left="437"/>
              <w:textAlignment w:val="baseline"/>
              <w:rPr>
                <w:szCs w:val="24"/>
              </w:rPr>
            </w:pPr>
          </w:p>
        </w:tc>
      </w:tr>
      <w:tr w:rsidR="00771677" w:rsidRPr="00771677" w14:paraId="56FFE09A" w14:textId="77777777" w:rsidTr="00FB4A13">
        <w:trPr>
          <w:trHeight w:hRule="exact" w:val="279"/>
          <w:jc w:val="center"/>
        </w:trPr>
        <w:tc>
          <w:tcPr>
            <w:tcW w:w="5054" w:type="dxa"/>
            <w:tcBorders>
              <w:top w:val="single" w:sz="9" w:space="0" w:color="auto"/>
              <w:left w:val="single" w:sz="9" w:space="0" w:color="auto"/>
              <w:bottom w:val="single" w:sz="9" w:space="0" w:color="auto"/>
              <w:right w:val="single" w:sz="9" w:space="0" w:color="auto"/>
            </w:tcBorders>
          </w:tcPr>
          <w:p w14:paraId="614F1E3A" w14:textId="77777777" w:rsidR="00771677" w:rsidRPr="00771677" w:rsidRDefault="00771677" w:rsidP="00FB4A13">
            <w:pPr>
              <w:kinsoku w:val="0"/>
              <w:overflowPunct w:val="0"/>
              <w:textAlignment w:val="baseline"/>
              <w:rPr>
                <w:szCs w:val="24"/>
              </w:rPr>
            </w:pPr>
          </w:p>
        </w:tc>
        <w:tc>
          <w:tcPr>
            <w:tcW w:w="2751" w:type="dxa"/>
            <w:tcBorders>
              <w:top w:val="single" w:sz="9" w:space="0" w:color="auto"/>
              <w:left w:val="single" w:sz="9" w:space="0" w:color="auto"/>
              <w:bottom w:val="single" w:sz="9" w:space="0" w:color="auto"/>
              <w:right w:val="single" w:sz="9" w:space="0" w:color="auto"/>
            </w:tcBorders>
          </w:tcPr>
          <w:p w14:paraId="3347727C" w14:textId="77777777" w:rsidR="00771677" w:rsidRPr="00771677" w:rsidRDefault="00771677" w:rsidP="00FB4A13">
            <w:pPr>
              <w:kinsoku w:val="0"/>
              <w:overflowPunct w:val="0"/>
              <w:textAlignment w:val="baseline"/>
              <w:rPr>
                <w:szCs w:val="24"/>
              </w:rPr>
            </w:pPr>
          </w:p>
        </w:tc>
      </w:tr>
      <w:tr w:rsidR="00771677" w:rsidRPr="00771677" w14:paraId="256B14EC" w14:textId="77777777" w:rsidTr="00FB4A13">
        <w:trPr>
          <w:trHeight w:hRule="exact" w:val="278"/>
          <w:jc w:val="center"/>
        </w:trPr>
        <w:tc>
          <w:tcPr>
            <w:tcW w:w="5054" w:type="dxa"/>
            <w:tcBorders>
              <w:top w:val="single" w:sz="9" w:space="0" w:color="auto"/>
              <w:left w:val="single" w:sz="9" w:space="0" w:color="auto"/>
              <w:bottom w:val="single" w:sz="9" w:space="0" w:color="auto"/>
              <w:right w:val="single" w:sz="9" w:space="0" w:color="auto"/>
            </w:tcBorders>
            <w:vAlign w:val="center"/>
          </w:tcPr>
          <w:p w14:paraId="315860D1" w14:textId="77777777" w:rsidR="00771677" w:rsidRPr="00771677" w:rsidRDefault="00771677" w:rsidP="00FB4A13">
            <w:pPr>
              <w:kinsoku w:val="0"/>
              <w:overflowPunct w:val="0"/>
              <w:spacing w:after="19" w:line="218" w:lineRule="exact"/>
              <w:ind w:left="53"/>
              <w:textAlignment w:val="baseline"/>
              <w:rPr>
                <w:szCs w:val="24"/>
              </w:rPr>
            </w:pPr>
            <w:r w:rsidRPr="00771677">
              <w:rPr>
                <w:szCs w:val="24"/>
              </w:rPr>
              <w:t>Student tuition and mandatory fees (Semester)</w:t>
            </w:r>
          </w:p>
        </w:tc>
        <w:tc>
          <w:tcPr>
            <w:tcW w:w="2751" w:type="dxa"/>
            <w:tcBorders>
              <w:top w:val="single" w:sz="9" w:space="0" w:color="auto"/>
              <w:left w:val="single" w:sz="9" w:space="0" w:color="auto"/>
              <w:bottom w:val="single" w:sz="9" w:space="0" w:color="auto"/>
              <w:right w:val="single" w:sz="9" w:space="0" w:color="auto"/>
            </w:tcBorders>
            <w:vAlign w:val="center"/>
          </w:tcPr>
          <w:p w14:paraId="268708D8" w14:textId="77777777" w:rsidR="00771677" w:rsidRPr="00771677" w:rsidRDefault="00771677" w:rsidP="00FB4A13">
            <w:pPr>
              <w:kinsoku w:val="0"/>
              <w:overflowPunct w:val="0"/>
              <w:spacing w:before="32" w:after="14" w:line="218" w:lineRule="exact"/>
              <w:ind w:right="39"/>
              <w:jc w:val="right"/>
              <w:textAlignment w:val="baseline"/>
              <w:rPr>
                <w:szCs w:val="24"/>
              </w:rPr>
            </w:pPr>
            <w:r w:rsidRPr="00771677">
              <w:rPr>
                <w:szCs w:val="24"/>
              </w:rPr>
              <w:t>$______ per semester</w:t>
            </w:r>
          </w:p>
        </w:tc>
      </w:tr>
      <w:tr w:rsidR="00771677" w:rsidRPr="00771677" w14:paraId="224FF653" w14:textId="77777777" w:rsidTr="00FB4A13">
        <w:trPr>
          <w:trHeight w:hRule="exact" w:val="283"/>
          <w:jc w:val="center"/>
        </w:trPr>
        <w:tc>
          <w:tcPr>
            <w:tcW w:w="5054" w:type="dxa"/>
            <w:tcBorders>
              <w:top w:val="single" w:sz="9" w:space="0" w:color="auto"/>
              <w:left w:val="single" w:sz="9" w:space="0" w:color="auto"/>
              <w:bottom w:val="single" w:sz="9" w:space="0" w:color="auto"/>
              <w:right w:val="single" w:sz="9" w:space="0" w:color="auto"/>
            </w:tcBorders>
            <w:vAlign w:val="center"/>
          </w:tcPr>
          <w:p w14:paraId="180E5C08" w14:textId="77777777" w:rsidR="00771677" w:rsidRPr="00771677" w:rsidRDefault="00771677" w:rsidP="00FB4A13">
            <w:pPr>
              <w:kinsoku w:val="0"/>
              <w:overflowPunct w:val="0"/>
              <w:spacing w:after="29" w:line="217" w:lineRule="exact"/>
              <w:ind w:left="53"/>
              <w:textAlignment w:val="baseline"/>
              <w:rPr>
                <w:szCs w:val="24"/>
              </w:rPr>
            </w:pPr>
            <w:r w:rsidRPr="00771677">
              <w:rPr>
                <w:szCs w:val="24"/>
              </w:rPr>
              <w:t>Student tuition and mandatory fees (Summer)</w:t>
            </w:r>
          </w:p>
        </w:tc>
        <w:tc>
          <w:tcPr>
            <w:tcW w:w="2751" w:type="dxa"/>
            <w:tcBorders>
              <w:top w:val="single" w:sz="9" w:space="0" w:color="auto"/>
              <w:left w:val="single" w:sz="9" w:space="0" w:color="auto"/>
              <w:bottom w:val="single" w:sz="9" w:space="0" w:color="auto"/>
              <w:right w:val="single" w:sz="9" w:space="0" w:color="auto"/>
            </w:tcBorders>
            <w:vAlign w:val="center"/>
          </w:tcPr>
          <w:p w14:paraId="79ED5E84" w14:textId="77777777" w:rsidR="00771677" w:rsidRPr="00771677" w:rsidRDefault="00771677" w:rsidP="00FB4A13">
            <w:pPr>
              <w:kinsoku w:val="0"/>
              <w:overflowPunct w:val="0"/>
              <w:spacing w:before="33" w:after="24" w:line="217" w:lineRule="exact"/>
              <w:ind w:right="39"/>
              <w:jc w:val="right"/>
              <w:textAlignment w:val="baseline"/>
              <w:rPr>
                <w:szCs w:val="24"/>
              </w:rPr>
            </w:pPr>
            <w:r w:rsidRPr="00771677">
              <w:rPr>
                <w:szCs w:val="24"/>
              </w:rPr>
              <w:t>$______ per semester</w:t>
            </w:r>
          </w:p>
        </w:tc>
      </w:tr>
      <w:tr w:rsidR="00771677" w:rsidRPr="00771677" w14:paraId="064248A3" w14:textId="77777777" w:rsidTr="00FB4A13">
        <w:trPr>
          <w:trHeight w:hRule="exact" w:val="283"/>
          <w:jc w:val="center"/>
        </w:trPr>
        <w:tc>
          <w:tcPr>
            <w:tcW w:w="5054" w:type="dxa"/>
            <w:tcBorders>
              <w:top w:val="single" w:sz="9" w:space="0" w:color="auto"/>
              <w:left w:val="single" w:sz="9" w:space="0" w:color="auto"/>
              <w:bottom w:val="single" w:sz="9" w:space="0" w:color="auto"/>
              <w:right w:val="single" w:sz="9" w:space="0" w:color="auto"/>
            </w:tcBorders>
          </w:tcPr>
          <w:p w14:paraId="70A9981B" w14:textId="77777777" w:rsidR="00771677" w:rsidRPr="00771677" w:rsidRDefault="00771677" w:rsidP="00FB4A13">
            <w:pPr>
              <w:kinsoku w:val="0"/>
              <w:overflowPunct w:val="0"/>
              <w:textAlignment w:val="baseline"/>
              <w:rPr>
                <w:szCs w:val="24"/>
              </w:rPr>
            </w:pPr>
          </w:p>
        </w:tc>
        <w:tc>
          <w:tcPr>
            <w:tcW w:w="2751" w:type="dxa"/>
            <w:tcBorders>
              <w:top w:val="single" w:sz="9" w:space="0" w:color="auto"/>
              <w:left w:val="single" w:sz="9" w:space="0" w:color="auto"/>
              <w:bottom w:val="single" w:sz="9" w:space="0" w:color="auto"/>
              <w:right w:val="single" w:sz="9" w:space="0" w:color="auto"/>
            </w:tcBorders>
          </w:tcPr>
          <w:p w14:paraId="353D285D" w14:textId="77777777" w:rsidR="00771677" w:rsidRPr="00771677" w:rsidRDefault="00771677" w:rsidP="00FB4A13">
            <w:pPr>
              <w:kinsoku w:val="0"/>
              <w:overflowPunct w:val="0"/>
              <w:textAlignment w:val="baseline"/>
              <w:rPr>
                <w:szCs w:val="24"/>
              </w:rPr>
            </w:pPr>
          </w:p>
        </w:tc>
      </w:tr>
      <w:tr w:rsidR="00771677" w:rsidRPr="00771677" w14:paraId="00583B66" w14:textId="77777777" w:rsidTr="00FB4A13">
        <w:trPr>
          <w:trHeight w:hRule="exact" w:val="279"/>
          <w:jc w:val="center"/>
        </w:trPr>
        <w:tc>
          <w:tcPr>
            <w:tcW w:w="5054" w:type="dxa"/>
            <w:tcBorders>
              <w:top w:val="single" w:sz="9" w:space="0" w:color="auto"/>
              <w:left w:val="single" w:sz="9" w:space="0" w:color="auto"/>
              <w:bottom w:val="single" w:sz="9" w:space="0" w:color="auto"/>
              <w:right w:val="single" w:sz="9" w:space="0" w:color="auto"/>
            </w:tcBorders>
            <w:vAlign w:val="center"/>
          </w:tcPr>
          <w:p w14:paraId="37E94851" w14:textId="77777777" w:rsidR="00771677" w:rsidRPr="00771677" w:rsidRDefault="00771677" w:rsidP="00FB4A13">
            <w:pPr>
              <w:kinsoku w:val="0"/>
              <w:overflowPunct w:val="0"/>
              <w:spacing w:after="33" w:line="213" w:lineRule="exact"/>
              <w:ind w:left="53"/>
              <w:textAlignment w:val="baseline"/>
              <w:rPr>
                <w:szCs w:val="24"/>
              </w:rPr>
            </w:pPr>
            <w:r w:rsidRPr="00771677">
              <w:rPr>
                <w:szCs w:val="24"/>
              </w:rPr>
              <w:t>Student Tuition and Fee Revenue, Net</w:t>
            </w:r>
          </w:p>
        </w:tc>
        <w:tc>
          <w:tcPr>
            <w:tcW w:w="2751" w:type="dxa"/>
            <w:tcBorders>
              <w:top w:val="single" w:sz="9" w:space="0" w:color="auto"/>
              <w:left w:val="single" w:sz="9" w:space="0" w:color="auto"/>
              <w:bottom w:val="single" w:sz="9" w:space="0" w:color="auto"/>
              <w:right w:val="single" w:sz="9" w:space="0" w:color="auto"/>
            </w:tcBorders>
            <w:vAlign w:val="center"/>
          </w:tcPr>
          <w:p w14:paraId="0B88209F" w14:textId="77777777" w:rsidR="00771677" w:rsidRPr="00771677" w:rsidRDefault="00771677" w:rsidP="00FB4A13">
            <w:pPr>
              <w:kinsoku w:val="0"/>
              <w:overflowPunct w:val="0"/>
              <w:spacing w:after="28" w:line="213" w:lineRule="exact"/>
              <w:ind w:right="39"/>
              <w:jc w:val="right"/>
              <w:textAlignment w:val="baseline"/>
              <w:rPr>
                <w:szCs w:val="24"/>
              </w:rPr>
            </w:pPr>
            <w:r w:rsidRPr="00771677">
              <w:rPr>
                <w:szCs w:val="24"/>
              </w:rPr>
              <w:t>$_________</w:t>
            </w:r>
          </w:p>
        </w:tc>
      </w:tr>
      <w:tr w:rsidR="00771677" w:rsidRPr="00771677" w14:paraId="6104FCB8" w14:textId="77777777" w:rsidTr="00FB4A13">
        <w:trPr>
          <w:trHeight w:hRule="exact" w:val="278"/>
          <w:jc w:val="center"/>
        </w:trPr>
        <w:tc>
          <w:tcPr>
            <w:tcW w:w="5054" w:type="dxa"/>
            <w:tcBorders>
              <w:top w:val="single" w:sz="9" w:space="0" w:color="auto"/>
              <w:left w:val="single" w:sz="9" w:space="0" w:color="auto"/>
              <w:bottom w:val="single" w:sz="9" w:space="0" w:color="auto"/>
              <w:right w:val="single" w:sz="9" w:space="0" w:color="auto"/>
            </w:tcBorders>
          </w:tcPr>
          <w:p w14:paraId="53EB5E0B" w14:textId="77777777" w:rsidR="00771677" w:rsidRPr="00771677" w:rsidRDefault="00771677" w:rsidP="00FB4A13">
            <w:pPr>
              <w:kinsoku w:val="0"/>
              <w:overflowPunct w:val="0"/>
              <w:textAlignment w:val="baseline"/>
              <w:rPr>
                <w:szCs w:val="24"/>
              </w:rPr>
            </w:pPr>
          </w:p>
        </w:tc>
        <w:tc>
          <w:tcPr>
            <w:tcW w:w="2751" w:type="dxa"/>
            <w:tcBorders>
              <w:top w:val="single" w:sz="9" w:space="0" w:color="auto"/>
              <w:left w:val="single" w:sz="9" w:space="0" w:color="auto"/>
              <w:bottom w:val="single" w:sz="9" w:space="0" w:color="auto"/>
              <w:right w:val="single" w:sz="9" w:space="0" w:color="auto"/>
            </w:tcBorders>
          </w:tcPr>
          <w:p w14:paraId="0783A95D" w14:textId="77777777" w:rsidR="00771677" w:rsidRPr="00771677" w:rsidRDefault="00771677" w:rsidP="00FB4A13">
            <w:pPr>
              <w:kinsoku w:val="0"/>
              <w:overflowPunct w:val="0"/>
              <w:textAlignment w:val="baseline"/>
              <w:rPr>
                <w:szCs w:val="24"/>
              </w:rPr>
            </w:pPr>
          </w:p>
        </w:tc>
      </w:tr>
      <w:tr w:rsidR="00771677" w:rsidRPr="00771677" w14:paraId="210B7DAF" w14:textId="77777777" w:rsidTr="00FB4A13">
        <w:trPr>
          <w:trHeight w:hRule="exact" w:val="283"/>
          <w:jc w:val="center"/>
        </w:trPr>
        <w:tc>
          <w:tcPr>
            <w:tcW w:w="5054" w:type="dxa"/>
            <w:tcBorders>
              <w:top w:val="single" w:sz="9" w:space="0" w:color="auto"/>
              <w:left w:val="single" w:sz="9" w:space="0" w:color="auto"/>
              <w:bottom w:val="single" w:sz="9" w:space="0" w:color="auto"/>
              <w:right w:val="single" w:sz="9" w:space="0" w:color="auto"/>
            </w:tcBorders>
            <w:vAlign w:val="center"/>
          </w:tcPr>
          <w:p w14:paraId="176017EE" w14:textId="77777777" w:rsidR="00771677" w:rsidRPr="00771677" w:rsidRDefault="00771677" w:rsidP="00FB4A13">
            <w:pPr>
              <w:kinsoku w:val="0"/>
              <w:overflowPunct w:val="0"/>
              <w:spacing w:after="29" w:line="217" w:lineRule="exact"/>
              <w:ind w:left="53"/>
              <w:textAlignment w:val="baseline"/>
              <w:rPr>
                <w:szCs w:val="24"/>
              </w:rPr>
            </w:pPr>
            <w:r w:rsidRPr="00771677">
              <w:rPr>
                <w:szCs w:val="24"/>
              </w:rPr>
              <w:t>Room and Board Rates (Semester)</w:t>
            </w:r>
          </w:p>
        </w:tc>
        <w:tc>
          <w:tcPr>
            <w:tcW w:w="2751" w:type="dxa"/>
            <w:tcBorders>
              <w:top w:val="single" w:sz="9" w:space="0" w:color="auto"/>
              <w:left w:val="single" w:sz="9" w:space="0" w:color="auto"/>
              <w:bottom w:val="single" w:sz="9" w:space="0" w:color="auto"/>
              <w:right w:val="single" w:sz="9" w:space="0" w:color="auto"/>
            </w:tcBorders>
            <w:vAlign w:val="center"/>
          </w:tcPr>
          <w:p w14:paraId="5C82CD51" w14:textId="77777777" w:rsidR="00771677" w:rsidRPr="00771677" w:rsidRDefault="00771677" w:rsidP="00FB4A13">
            <w:pPr>
              <w:kinsoku w:val="0"/>
              <w:overflowPunct w:val="0"/>
              <w:spacing w:before="33" w:after="24" w:line="217" w:lineRule="exact"/>
              <w:ind w:right="39"/>
              <w:jc w:val="right"/>
              <w:textAlignment w:val="baseline"/>
              <w:rPr>
                <w:szCs w:val="24"/>
              </w:rPr>
            </w:pPr>
            <w:r w:rsidRPr="00771677">
              <w:rPr>
                <w:szCs w:val="24"/>
              </w:rPr>
              <w:t>$______ per semester</w:t>
            </w:r>
          </w:p>
        </w:tc>
      </w:tr>
      <w:tr w:rsidR="00771677" w:rsidRPr="00771677" w14:paraId="605AAF00" w14:textId="77777777" w:rsidTr="00FB4A13">
        <w:trPr>
          <w:trHeight w:hRule="exact" w:val="284"/>
          <w:jc w:val="center"/>
        </w:trPr>
        <w:tc>
          <w:tcPr>
            <w:tcW w:w="5054" w:type="dxa"/>
            <w:tcBorders>
              <w:top w:val="single" w:sz="9" w:space="0" w:color="auto"/>
              <w:left w:val="single" w:sz="9" w:space="0" w:color="auto"/>
              <w:bottom w:val="single" w:sz="9" w:space="0" w:color="auto"/>
              <w:right w:val="single" w:sz="9" w:space="0" w:color="auto"/>
            </w:tcBorders>
            <w:vAlign w:val="center"/>
          </w:tcPr>
          <w:p w14:paraId="50E17392" w14:textId="77777777" w:rsidR="00771677" w:rsidRPr="00771677" w:rsidRDefault="00771677" w:rsidP="00FB4A13">
            <w:pPr>
              <w:kinsoku w:val="0"/>
              <w:overflowPunct w:val="0"/>
              <w:spacing w:after="33" w:line="218" w:lineRule="exact"/>
              <w:ind w:left="53"/>
              <w:textAlignment w:val="baseline"/>
              <w:rPr>
                <w:szCs w:val="24"/>
              </w:rPr>
            </w:pPr>
            <w:r w:rsidRPr="00771677">
              <w:rPr>
                <w:szCs w:val="24"/>
              </w:rPr>
              <w:t>Room and Board Rates (Summer)</w:t>
            </w:r>
          </w:p>
        </w:tc>
        <w:tc>
          <w:tcPr>
            <w:tcW w:w="2751" w:type="dxa"/>
            <w:tcBorders>
              <w:top w:val="single" w:sz="9" w:space="0" w:color="auto"/>
              <w:left w:val="single" w:sz="9" w:space="0" w:color="auto"/>
              <w:bottom w:val="single" w:sz="9" w:space="0" w:color="auto"/>
              <w:right w:val="single" w:sz="9" w:space="0" w:color="auto"/>
            </w:tcBorders>
            <w:vAlign w:val="center"/>
          </w:tcPr>
          <w:p w14:paraId="741B8F70" w14:textId="77777777" w:rsidR="00771677" w:rsidRPr="00771677" w:rsidRDefault="00771677" w:rsidP="00FB4A13">
            <w:pPr>
              <w:kinsoku w:val="0"/>
              <w:overflowPunct w:val="0"/>
              <w:spacing w:before="33" w:after="29" w:line="217" w:lineRule="exact"/>
              <w:ind w:right="39"/>
              <w:jc w:val="right"/>
              <w:textAlignment w:val="baseline"/>
              <w:rPr>
                <w:szCs w:val="24"/>
              </w:rPr>
            </w:pPr>
            <w:r w:rsidRPr="00771677">
              <w:rPr>
                <w:szCs w:val="24"/>
              </w:rPr>
              <w:t>$_____ per semester</w:t>
            </w:r>
          </w:p>
        </w:tc>
      </w:tr>
      <w:tr w:rsidR="00771677" w:rsidRPr="00771677" w14:paraId="5EA98E11" w14:textId="77777777" w:rsidTr="00FB4A13">
        <w:trPr>
          <w:trHeight w:hRule="exact" w:val="278"/>
          <w:jc w:val="center"/>
        </w:trPr>
        <w:tc>
          <w:tcPr>
            <w:tcW w:w="5054" w:type="dxa"/>
            <w:tcBorders>
              <w:top w:val="single" w:sz="9" w:space="0" w:color="auto"/>
              <w:left w:val="single" w:sz="9" w:space="0" w:color="auto"/>
              <w:bottom w:val="single" w:sz="9" w:space="0" w:color="auto"/>
              <w:right w:val="single" w:sz="9" w:space="0" w:color="auto"/>
            </w:tcBorders>
          </w:tcPr>
          <w:p w14:paraId="11F881D2" w14:textId="77777777" w:rsidR="00771677" w:rsidRPr="00771677" w:rsidRDefault="00771677" w:rsidP="00FB4A13">
            <w:pPr>
              <w:kinsoku w:val="0"/>
              <w:overflowPunct w:val="0"/>
              <w:textAlignment w:val="baseline"/>
              <w:rPr>
                <w:szCs w:val="24"/>
              </w:rPr>
            </w:pPr>
          </w:p>
        </w:tc>
        <w:tc>
          <w:tcPr>
            <w:tcW w:w="2751" w:type="dxa"/>
            <w:tcBorders>
              <w:top w:val="single" w:sz="9" w:space="0" w:color="auto"/>
              <w:left w:val="single" w:sz="9" w:space="0" w:color="auto"/>
              <w:bottom w:val="single" w:sz="9" w:space="0" w:color="auto"/>
              <w:right w:val="single" w:sz="9" w:space="0" w:color="auto"/>
            </w:tcBorders>
          </w:tcPr>
          <w:p w14:paraId="05992192" w14:textId="77777777" w:rsidR="00771677" w:rsidRPr="00771677" w:rsidRDefault="00771677" w:rsidP="00FB4A13">
            <w:pPr>
              <w:kinsoku w:val="0"/>
              <w:overflowPunct w:val="0"/>
              <w:textAlignment w:val="baseline"/>
              <w:rPr>
                <w:szCs w:val="24"/>
              </w:rPr>
            </w:pPr>
          </w:p>
        </w:tc>
      </w:tr>
      <w:tr w:rsidR="00771677" w:rsidRPr="00771677" w14:paraId="3141C9DA" w14:textId="77777777" w:rsidTr="00FB4A13">
        <w:trPr>
          <w:trHeight w:hRule="exact" w:val="278"/>
          <w:jc w:val="center"/>
        </w:trPr>
        <w:tc>
          <w:tcPr>
            <w:tcW w:w="5054" w:type="dxa"/>
            <w:tcBorders>
              <w:top w:val="single" w:sz="9" w:space="0" w:color="auto"/>
              <w:left w:val="single" w:sz="9" w:space="0" w:color="auto"/>
              <w:bottom w:val="single" w:sz="9" w:space="0" w:color="auto"/>
              <w:right w:val="single" w:sz="9" w:space="0" w:color="auto"/>
            </w:tcBorders>
            <w:vAlign w:val="center"/>
          </w:tcPr>
          <w:p w14:paraId="29BC0C93" w14:textId="77777777" w:rsidR="00771677" w:rsidRPr="00771677" w:rsidRDefault="00771677" w:rsidP="00FB4A13">
            <w:pPr>
              <w:kinsoku w:val="0"/>
              <w:overflowPunct w:val="0"/>
              <w:spacing w:after="19" w:line="217" w:lineRule="exact"/>
              <w:ind w:left="53"/>
              <w:textAlignment w:val="baseline"/>
              <w:rPr>
                <w:szCs w:val="24"/>
              </w:rPr>
            </w:pPr>
            <w:r w:rsidRPr="00771677">
              <w:rPr>
                <w:szCs w:val="24"/>
              </w:rPr>
              <w:t>Auxiliary Enterprises Revenues</w:t>
            </w:r>
          </w:p>
        </w:tc>
        <w:tc>
          <w:tcPr>
            <w:tcW w:w="2751" w:type="dxa"/>
            <w:tcBorders>
              <w:top w:val="single" w:sz="9" w:space="0" w:color="auto"/>
              <w:left w:val="single" w:sz="9" w:space="0" w:color="auto"/>
              <w:bottom w:val="single" w:sz="9" w:space="0" w:color="auto"/>
              <w:right w:val="single" w:sz="9" w:space="0" w:color="auto"/>
            </w:tcBorders>
            <w:vAlign w:val="center"/>
          </w:tcPr>
          <w:p w14:paraId="2E3B3A8C" w14:textId="77777777" w:rsidR="00771677" w:rsidRPr="00771677" w:rsidRDefault="00771677" w:rsidP="00FB4A13">
            <w:pPr>
              <w:kinsoku w:val="0"/>
              <w:overflowPunct w:val="0"/>
              <w:spacing w:after="24" w:line="212" w:lineRule="exact"/>
              <w:ind w:right="39"/>
              <w:jc w:val="right"/>
              <w:textAlignment w:val="baseline"/>
              <w:rPr>
                <w:szCs w:val="24"/>
              </w:rPr>
            </w:pPr>
            <w:r w:rsidRPr="00771677">
              <w:rPr>
                <w:szCs w:val="24"/>
              </w:rPr>
              <w:t>$_________</w:t>
            </w:r>
          </w:p>
        </w:tc>
      </w:tr>
      <w:tr w:rsidR="00771677" w:rsidRPr="00771677" w14:paraId="5C76F708" w14:textId="77777777" w:rsidTr="00FB4A13">
        <w:trPr>
          <w:trHeight w:hRule="exact" w:val="284"/>
          <w:jc w:val="center"/>
        </w:trPr>
        <w:tc>
          <w:tcPr>
            <w:tcW w:w="5054" w:type="dxa"/>
            <w:tcBorders>
              <w:top w:val="single" w:sz="9" w:space="0" w:color="auto"/>
              <w:left w:val="single" w:sz="9" w:space="0" w:color="auto"/>
              <w:bottom w:val="single" w:sz="9" w:space="0" w:color="auto"/>
              <w:right w:val="single" w:sz="9" w:space="0" w:color="auto"/>
            </w:tcBorders>
            <w:vAlign w:val="center"/>
          </w:tcPr>
          <w:p w14:paraId="43E9847D" w14:textId="77777777" w:rsidR="00771677" w:rsidRPr="00771677" w:rsidRDefault="00771677" w:rsidP="00FB4A13">
            <w:pPr>
              <w:kinsoku w:val="0"/>
              <w:overflowPunct w:val="0"/>
              <w:spacing w:after="28" w:line="218" w:lineRule="exact"/>
              <w:ind w:left="53"/>
              <w:textAlignment w:val="baseline"/>
              <w:rPr>
                <w:szCs w:val="24"/>
              </w:rPr>
            </w:pPr>
            <w:r w:rsidRPr="00771677">
              <w:rPr>
                <w:szCs w:val="24"/>
              </w:rPr>
              <w:t>Auxiliary Enterprises Expenditures</w:t>
            </w:r>
          </w:p>
        </w:tc>
        <w:tc>
          <w:tcPr>
            <w:tcW w:w="2751" w:type="dxa"/>
            <w:tcBorders>
              <w:top w:val="single" w:sz="9" w:space="0" w:color="auto"/>
              <w:left w:val="single" w:sz="9" w:space="0" w:color="auto"/>
              <w:bottom w:val="single" w:sz="9" w:space="0" w:color="auto"/>
              <w:right w:val="single" w:sz="9" w:space="0" w:color="auto"/>
            </w:tcBorders>
            <w:vAlign w:val="center"/>
          </w:tcPr>
          <w:p w14:paraId="708C9682" w14:textId="77777777" w:rsidR="00771677" w:rsidRPr="00771677" w:rsidRDefault="00771677" w:rsidP="00FB4A13">
            <w:pPr>
              <w:kinsoku w:val="0"/>
              <w:overflowPunct w:val="0"/>
              <w:spacing w:after="33" w:line="213" w:lineRule="exact"/>
              <w:ind w:right="39"/>
              <w:jc w:val="right"/>
              <w:textAlignment w:val="baseline"/>
              <w:rPr>
                <w:szCs w:val="24"/>
              </w:rPr>
            </w:pPr>
            <w:r w:rsidRPr="00771677">
              <w:rPr>
                <w:szCs w:val="24"/>
              </w:rPr>
              <w:t>$_________</w:t>
            </w:r>
          </w:p>
        </w:tc>
      </w:tr>
      <w:tr w:rsidR="00771677" w:rsidRPr="00771677" w14:paraId="59C46E26" w14:textId="77777777" w:rsidTr="00FB4A13">
        <w:trPr>
          <w:trHeight w:hRule="exact" w:val="283"/>
          <w:jc w:val="center"/>
        </w:trPr>
        <w:tc>
          <w:tcPr>
            <w:tcW w:w="5054" w:type="dxa"/>
            <w:tcBorders>
              <w:top w:val="single" w:sz="9" w:space="0" w:color="auto"/>
              <w:left w:val="single" w:sz="9" w:space="0" w:color="auto"/>
              <w:bottom w:val="single" w:sz="9" w:space="0" w:color="auto"/>
              <w:right w:val="single" w:sz="9" w:space="0" w:color="auto"/>
            </w:tcBorders>
          </w:tcPr>
          <w:p w14:paraId="5AEFC6D8" w14:textId="77777777" w:rsidR="00771677" w:rsidRPr="00771677" w:rsidRDefault="00771677" w:rsidP="00FB4A13">
            <w:pPr>
              <w:kinsoku w:val="0"/>
              <w:overflowPunct w:val="0"/>
              <w:textAlignment w:val="baseline"/>
              <w:rPr>
                <w:szCs w:val="24"/>
              </w:rPr>
            </w:pPr>
          </w:p>
        </w:tc>
        <w:tc>
          <w:tcPr>
            <w:tcW w:w="2751" w:type="dxa"/>
            <w:tcBorders>
              <w:top w:val="single" w:sz="9" w:space="0" w:color="auto"/>
              <w:left w:val="single" w:sz="9" w:space="0" w:color="auto"/>
              <w:bottom w:val="single" w:sz="9" w:space="0" w:color="auto"/>
              <w:right w:val="single" w:sz="9" w:space="0" w:color="auto"/>
            </w:tcBorders>
          </w:tcPr>
          <w:p w14:paraId="3BAC3D9C" w14:textId="77777777" w:rsidR="00771677" w:rsidRPr="00771677" w:rsidRDefault="00771677" w:rsidP="00FB4A13">
            <w:pPr>
              <w:kinsoku w:val="0"/>
              <w:overflowPunct w:val="0"/>
              <w:textAlignment w:val="baseline"/>
              <w:rPr>
                <w:szCs w:val="24"/>
              </w:rPr>
            </w:pPr>
          </w:p>
        </w:tc>
      </w:tr>
      <w:tr w:rsidR="00771677" w:rsidRPr="00771677" w14:paraId="020F01F5" w14:textId="77777777" w:rsidTr="00FB4A13">
        <w:trPr>
          <w:trHeight w:hRule="exact" w:val="278"/>
          <w:jc w:val="center"/>
        </w:trPr>
        <w:tc>
          <w:tcPr>
            <w:tcW w:w="5054" w:type="dxa"/>
            <w:tcBorders>
              <w:top w:val="single" w:sz="9" w:space="0" w:color="auto"/>
              <w:left w:val="single" w:sz="9" w:space="0" w:color="auto"/>
              <w:bottom w:val="single" w:sz="9" w:space="0" w:color="auto"/>
              <w:right w:val="single" w:sz="9" w:space="0" w:color="auto"/>
            </w:tcBorders>
            <w:vAlign w:val="center"/>
          </w:tcPr>
          <w:p w14:paraId="5FC297E5" w14:textId="77777777" w:rsidR="00771677" w:rsidRPr="00771677" w:rsidRDefault="00771677" w:rsidP="00FB4A13">
            <w:pPr>
              <w:kinsoku w:val="0"/>
              <w:overflowPunct w:val="0"/>
              <w:spacing w:after="29" w:line="217" w:lineRule="exact"/>
              <w:ind w:left="53"/>
              <w:textAlignment w:val="baseline"/>
              <w:rPr>
                <w:szCs w:val="24"/>
              </w:rPr>
            </w:pPr>
            <w:r w:rsidRPr="00771677">
              <w:rPr>
                <w:szCs w:val="24"/>
              </w:rPr>
              <w:t>Housing System Revenues</w:t>
            </w:r>
          </w:p>
        </w:tc>
        <w:tc>
          <w:tcPr>
            <w:tcW w:w="2751" w:type="dxa"/>
            <w:tcBorders>
              <w:top w:val="single" w:sz="9" w:space="0" w:color="auto"/>
              <w:left w:val="single" w:sz="9" w:space="0" w:color="auto"/>
              <w:bottom w:val="single" w:sz="9" w:space="0" w:color="auto"/>
              <w:right w:val="single" w:sz="9" w:space="0" w:color="auto"/>
            </w:tcBorders>
            <w:vAlign w:val="center"/>
          </w:tcPr>
          <w:p w14:paraId="474A2234" w14:textId="77777777" w:rsidR="00771677" w:rsidRPr="00771677" w:rsidRDefault="00771677" w:rsidP="00FB4A13">
            <w:pPr>
              <w:kinsoku w:val="0"/>
              <w:overflowPunct w:val="0"/>
              <w:spacing w:after="34" w:line="212" w:lineRule="exact"/>
              <w:ind w:right="39"/>
              <w:jc w:val="right"/>
              <w:textAlignment w:val="baseline"/>
              <w:rPr>
                <w:szCs w:val="24"/>
              </w:rPr>
            </w:pPr>
            <w:r w:rsidRPr="00771677">
              <w:rPr>
                <w:szCs w:val="24"/>
              </w:rPr>
              <w:t>$_________</w:t>
            </w:r>
          </w:p>
        </w:tc>
      </w:tr>
      <w:tr w:rsidR="00771677" w:rsidRPr="00771677" w14:paraId="5D6CDCF9" w14:textId="77777777" w:rsidTr="00FB4A13">
        <w:trPr>
          <w:trHeight w:hRule="exact" w:val="289"/>
          <w:jc w:val="center"/>
        </w:trPr>
        <w:tc>
          <w:tcPr>
            <w:tcW w:w="5054" w:type="dxa"/>
            <w:tcBorders>
              <w:top w:val="single" w:sz="9" w:space="0" w:color="auto"/>
              <w:left w:val="single" w:sz="9" w:space="0" w:color="auto"/>
              <w:bottom w:val="single" w:sz="9" w:space="0" w:color="auto"/>
              <w:right w:val="single" w:sz="9" w:space="0" w:color="auto"/>
            </w:tcBorders>
            <w:vAlign w:val="center"/>
          </w:tcPr>
          <w:p w14:paraId="14CAB80C" w14:textId="77777777" w:rsidR="00771677" w:rsidRPr="00771677" w:rsidRDefault="00771677" w:rsidP="00FB4A13">
            <w:pPr>
              <w:kinsoku w:val="0"/>
              <w:overflowPunct w:val="0"/>
              <w:spacing w:after="34" w:line="217" w:lineRule="exact"/>
              <w:ind w:left="53"/>
              <w:textAlignment w:val="baseline"/>
              <w:rPr>
                <w:szCs w:val="24"/>
              </w:rPr>
            </w:pPr>
            <w:r w:rsidRPr="00771677">
              <w:rPr>
                <w:szCs w:val="24"/>
              </w:rPr>
              <w:t>Housing System Expenditures</w:t>
            </w:r>
          </w:p>
        </w:tc>
        <w:tc>
          <w:tcPr>
            <w:tcW w:w="2751" w:type="dxa"/>
            <w:tcBorders>
              <w:top w:val="single" w:sz="9" w:space="0" w:color="auto"/>
              <w:left w:val="single" w:sz="9" w:space="0" w:color="auto"/>
              <w:bottom w:val="single" w:sz="9" w:space="0" w:color="auto"/>
              <w:right w:val="single" w:sz="9" w:space="0" w:color="auto"/>
            </w:tcBorders>
            <w:vAlign w:val="center"/>
          </w:tcPr>
          <w:p w14:paraId="40036600" w14:textId="77777777" w:rsidR="00771677" w:rsidRPr="00771677" w:rsidRDefault="00771677" w:rsidP="00FB4A13">
            <w:pPr>
              <w:kinsoku w:val="0"/>
              <w:overflowPunct w:val="0"/>
              <w:spacing w:after="38" w:line="213" w:lineRule="exact"/>
              <w:ind w:right="39"/>
              <w:jc w:val="right"/>
              <w:textAlignment w:val="baseline"/>
              <w:rPr>
                <w:szCs w:val="24"/>
              </w:rPr>
            </w:pPr>
            <w:r w:rsidRPr="00771677">
              <w:rPr>
                <w:szCs w:val="24"/>
              </w:rPr>
              <w:t>$_________</w:t>
            </w:r>
          </w:p>
        </w:tc>
      </w:tr>
    </w:tbl>
    <w:p w14:paraId="34662788" w14:textId="77777777" w:rsidR="00771677" w:rsidRPr="00771677" w:rsidRDefault="00771677" w:rsidP="00771677">
      <w:pPr>
        <w:suppressAutoHyphens/>
        <w:spacing w:after="240" w:line="240" w:lineRule="auto"/>
        <w:ind w:left="5040"/>
        <w:jc w:val="center"/>
        <w:rPr>
          <w:szCs w:val="24"/>
        </w:rPr>
      </w:pPr>
    </w:p>
    <w:p w14:paraId="4E075589" w14:textId="77777777" w:rsidR="00771677" w:rsidRPr="00771677" w:rsidRDefault="00771677" w:rsidP="00771677">
      <w:pPr>
        <w:spacing w:after="160" w:line="259" w:lineRule="auto"/>
        <w:rPr>
          <w:szCs w:val="24"/>
        </w:rPr>
      </w:pPr>
      <w:r w:rsidRPr="00771677">
        <w:rPr>
          <w:szCs w:val="24"/>
        </w:rPr>
        <w:tab/>
      </w:r>
      <w:r w:rsidRPr="00771677">
        <w:rPr>
          <w:szCs w:val="24"/>
        </w:rPr>
        <w:tab/>
      </w:r>
      <w:r w:rsidRPr="00771677">
        <w:rPr>
          <w:szCs w:val="24"/>
        </w:rPr>
        <w:tab/>
      </w:r>
      <w:r w:rsidRPr="00771677">
        <w:rPr>
          <w:szCs w:val="24"/>
        </w:rPr>
        <w:tab/>
      </w:r>
      <w:r w:rsidRPr="00771677">
        <w:rPr>
          <w:szCs w:val="24"/>
        </w:rPr>
        <w:tab/>
      </w:r>
    </w:p>
    <w:p w14:paraId="0A694D67" w14:textId="77777777" w:rsidR="00771677" w:rsidRPr="00771677" w:rsidRDefault="00771677" w:rsidP="00771677">
      <w:pPr>
        <w:spacing w:after="160" w:line="259" w:lineRule="auto"/>
        <w:rPr>
          <w:szCs w:val="24"/>
        </w:rPr>
      </w:pPr>
    </w:p>
    <w:p w14:paraId="04CB19BA" w14:textId="77777777" w:rsidR="00771677" w:rsidRPr="00771677" w:rsidRDefault="00771677" w:rsidP="00771677">
      <w:pPr>
        <w:rPr>
          <w:szCs w:val="24"/>
        </w:rPr>
      </w:pPr>
    </w:p>
    <w:p w14:paraId="40AD925A" w14:textId="77777777" w:rsidR="00EC721A" w:rsidRPr="00771677" w:rsidRDefault="00EC721A">
      <w:pPr>
        <w:rPr>
          <w:szCs w:val="24"/>
        </w:rPr>
      </w:pPr>
    </w:p>
    <w:sectPr w:rsidR="00EC721A" w:rsidRPr="0077167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BE08E" w14:textId="77777777" w:rsidR="0036268D" w:rsidRDefault="0036268D" w:rsidP="0036268D">
      <w:pPr>
        <w:spacing w:after="0" w:line="240" w:lineRule="auto"/>
      </w:pPr>
      <w:r>
        <w:separator/>
      </w:r>
    </w:p>
  </w:endnote>
  <w:endnote w:type="continuationSeparator" w:id="0">
    <w:p w14:paraId="34C7911C" w14:textId="77777777" w:rsidR="0036268D" w:rsidRDefault="0036268D" w:rsidP="00362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9497" w14:textId="77777777" w:rsidR="0036268D" w:rsidRDefault="003626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39DCD" w14:textId="77777777" w:rsidR="0036268D" w:rsidRDefault="003626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F99EA" w14:textId="77777777" w:rsidR="0036268D" w:rsidRDefault="00362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57659" w14:textId="77777777" w:rsidR="0036268D" w:rsidRDefault="0036268D" w:rsidP="0036268D">
      <w:pPr>
        <w:spacing w:after="0" w:line="240" w:lineRule="auto"/>
      </w:pPr>
      <w:r>
        <w:separator/>
      </w:r>
    </w:p>
  </w:footnote>
  <w:footnote w:type="continuationSeparator" w:id="0">
    <w:p w14:paraId="478020DB" w14:textId="77777777" w:rsidR="0036268D" w:rsidRDefault="0036268D" w:rsidP="003626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325BB" w14:textId="77777777" w:rsidR="0036268D" w:rsidRDefault="003626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ABB8" w14:textId="77777777" w:rsidR="0036268D" w:rsidRDefault="003626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5E180" w14:textId="77777777" w:rsidR="0036268D" w:rsidRDefault="003626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942650"/>
    <w:multiLevelType w:val="hybridMultilevel"/>
    <w:tmpl w:val="40465158"/>
    <w:lvl w:ilvl="0" w:tplc="859C4B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04079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77"/>
    <w:rsid w:val="00204256"/>
    <w:rsid w:val="0023006E"/>
    <w:rsid w:val="002A1AF1"/>
    <w:rsid w:val="0036268D"/>
    <w:rsid w:val="00480BD4"/>
    <w:rsid w:val="00495C3A"/>
    <w:rsid w:val="00632EFF"/>
    <w:rsid w:val="00771677"/>
    <w:rsid w:val="007F36B6"/>
    <w:rsid w:val="00AA74F4"/>
    <w:rsid w:val="00C14D9D"/>
    <w:rsid w:val="00D12E4B"/>
    <w:rsid w:val="00D62B3C"/>
    <w:rsid w:val="00EC721A"/>
    <w:rsid w:val="00F27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2850A"/>
  <w15:chartTrackingRefBased/>
  <w15:docId w15:val="{BEA6BB99-3FE2-4272-89CC-C40C45D0A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677"/>
    <w:pPr>
      <w:spacing w:after="200" w:line="276"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7716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16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16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16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16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16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16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16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16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6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16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16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16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16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16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16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16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1677"/>
    <w:rPr>
      <w:rFonts w:eastAsiaTheme="majorEastAsia" w:cstheme="majorBidi"/>
      <w:color w:val="272727" w:themeColor="text1" w:themeTint="D8"/>
    </w:rPr>
  </w:style>
  <w:style w:type="paragraph" w:styleId="Title">
    <w:name w:val="Title"/>
    <w:basedOn w:val="Normal"/>
    <w:next w:val="Normal"/>
    <w:link w:val="TitleChar"/>
    <w:uiPriority w:val="10"/>
    <w:qFormat/>
    <w:rsid w:val="007716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16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16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16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1677"/>
    <w:pPr>
      <w:spacing w:before="160"/>
      <w:jc w:val="center"/>
    </w:pPr>
    <w:rPr>
      <w:i/>
      <w:iCs/>
      <w:color w:val="404040" w:themeColor="text1" w:themeTint="BF"/>
    </w:rPr>
  </w:style>
  <w:style w:type="character" w:customStyle="1" w:styleId="QuoteChar">
    <w:name w:val="Quote Char"/>
    <w:basedOn w:val="DefaultParagraphFont"/>
    <w:link w:val="Quote"/>
    <w:uiPriority w:val="29"/>
    <w:rsid w:val="00771677"/>
    <w:rPr>
      <w:i/>
      <w:iCs/>
      <w:color w:val="404040" w:themeColor="text1" w:themeTint="BF"/>
    </w:rPr>
  </w:style>
  <w:style w:type="paragraph" w:styleId="ListParagraph">
    <w:name w:val="List Paragraph"/>
    <w:basedOn w:val="Normal"/>
    <w:uiPriority w:val="34"/>
    <w:qFormat/>
    <w:rsid w:val="00771677"/>
    <w:pPr>
      <w:ind w:left="720"/>
      <w:contextualSpacing/>
    </w:pPr>
  </w:style>
  <w:style w:type="character" w:styleId="IntenseEmphasis">
    <w:name w:val="Intense Emphasis"/>
    <w:basedOn w:val="DefaultParagraphFont"/>
    <w:uiPriority w:val="21"/>
    <w:qFormat/>
    <w:rsid w:val="00771677"/>
    <w:rPr>
      <w:i/>
      <w:iCs/>
      <w:color w:val="0F4761" w:themeColor="accent1" w:themeShade="BF"/>
    </w:rPr>
  </w:style>
  <w:style w:type="paragraph" w:styleId="IntenseQuote">
    <w:name w:val="Intense Quote"/>
    <w:basedOn w:val="Normal"/>
    <w:next w:val="Normal"/>
    <w:link w:val="IntenseQuoteChar"/>
    <w:uiPriority w:val="30"/>
    <w:qFormat/>
    <w:rsid w:val="007716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1677"/>
    <w:rPr>
      <w:i/>
      <w:iCs/>
      <w:color w:val="0F4761" w:themeColor="accent1" w:themeShade="BF"/>
    </w:rPr>
  </w:style>
  <w:style w:type="character" w:styleId="IntenseReference">
    <w:name w:val="Intense Reference"/>
    <w:basedOn w:val="DefaultParagraphFont"/>
    <w:uiPriority w:val="32"/>
    <w:qFormat/>
    <w:rsid w:val="00771677"/>
    <w:rPr>
      <w:b/>
      <w:bCs/>
      <w:smallCaps/>
      <w:color w:val="0F4761" w:themeColor="accent1" w:themeShade="BF"/>
      <w:spacing w:val="5"/>
    </w:rPr>
  </w:style>
  <w:style w:type="paragraph" w:styleId="Header">
    <w:name w:val="header"/>
    <w:basedOn w:val="Normal"/>
    <w:link w:val="HeaderChar"/>
    <w:uiPriority w:val="99"/>
    <w:unhideWhenUsed/>
    <w:rsid w:val="00362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68D"/>
    <w:rPr>
      <w:rFonts w:ascii="Times New Roman" w:eastAsia="Times New Roman" w:hAnsi="Times New Roman" w:cs="Times New Roman"/>
      <w:kern w:val="0"/>
      <w:szCs w:val="20"/>
      <w14:ligatures w14:val="none"/>
    </w:rPr>
  </w:style>
  <w:style w:type="paragraph" w:styleId="Footer">
    <w:name w:val="footer"/>
    <w:basedOn w:val="Normal"/>
    <w:link w:val="FooterChar"/>
    <w:uiPriority w:val="99"/>
    <w:unhideWhenUsed/>
    <w:rsid w:val="00362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68D"/>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item.xml><?xml version="1.0" encoding="utf-8"?>
<properties xmlns="http://www.imanage.com/work/xmlschema">
  <documentid>RoseLaw!2244850.1</documentid>
  <senderid>NSOULSBY</senderid>
  <senderemail>NSOULSBY@ROSELAWFIRM.COM</senderemail>
  <lastmodified>2025-10-06T14:27:00.0000000-05:00</lastmodified>
  <database>RoseLaw</database>
</properties>
</file>

<file path=customXML/itemProps.xml><?xml version="1.0" encoding="utf-8"?>
<ds:datastoreItem xmlns:ds="http://schemas.openxmlformats.org/officeDocument/2006/customXml" ds:itemID="{0B7D4CAF-EDAD-43BE-A4CE-CF6A5DE04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3046</Words>
  <Characters>16266</Characters>
  <Application>Microsoft Office Word</Application>
  <DocSecurity>0</DocSecurity>
  <Lines>369</Lines>
  <Paragraphs>93</Paragraphs>
  <ScaleCrop>false</ScaleCrop>
  <Company/>
  <LinksUpToDate>false</LinksUpToDate>
  <CharactersWithSpaces>19219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Soulsby</dc:creator>
  <cp:keywords/>
  <dc:description/>
  <cp:lastModifiedBy>Nicole Soulsby</cp:lastModifiedBy>
  <cp:revision>7</cp:revision>
  <cp:lastPrinted>2025-10-06T14:29:00Z</cp:lastPrinted>
  <dcterms:created xsi:type="dcterms:W3CDTF">2025-10-06T14:09:00Z</dcterms:created>
  <dcterms:modified xsi:type="dcterms:W3CDTF">2025-10-06T19:27:00Z</dcterms:modified>
</cp:coreProperties>
</file>