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8C3C" w14:textId="77777777"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b/>
          <w:color w:val="C10000"/>
          <w:sz w:val="16"/>
          <w:szCs w:val="16"/>
        </w:rPr>
      </w:pPr>
      <w:r w:rsidRPr="006A6991">
        <w:rPr>
          <w:rFonts w:ascii="Calibri-Light" w:hAnsi="Calibri-Light" w:cs="Calibri-Light"/>
          <w:b/>
          <w:color w:val="C10000"/>
          <w:sz w:val="16"/>
          <w:szCs w:val="16"/>
        </w:rPr>
        <w:t>Introd</w:t>
      </w:r>
      <w:bookmarkStart w:id="0" w:name="_GoBack"/>
      <w:bookmarkEnd w:id="0"/>
      <w:r w:rsidRPr="006A6991">
        <w:rPr>
          <w:rFonts w:ascii="Calibri-Light" w:hAnsi="Calibri-Light" w:cs="Calibri-Light"/>
          <w:b/>
          <w:color w:val="C10000"/>
          <w:sz w:val="16"/>
          <w:szCs w:val="16"/>
        </w:rPr>
        <w:t>uctory Information:</w:t>
      </w:r>
    </w:p>
    <w:p w14:paraId="461E78CC" w14:textId="628EEC1E" w:rsidR="001E05BD" w:rsidRPr="003A55CB" w:rsidRDefault="001E05BD" w:rsidP="001E05BD">
      <w:pPr>
        <w:pStyle w:val="ListParagraph"/>
        <w:numPr>
          <w:ilvl w:val="0"/>
          <w:numId w:val="1"/>
        </w:numPr>
        <w:rPr>
          <w:rFonts w:ascii="Calibri Light" w:hAnsi="Calibri Light" w:cs="Calibri Light"/>
          <w:i/>
          <w:color w:val="800000"/>
          <w:sz w:val="16"/>
        </w:rPr>
      </w:pPr>
      <w:r w:rsidRPr="003A55CB">
        <w:rPr>
          <w:rFonts w:ascii="Calibri Light" w:hAnsi="Calibri Light" w:cs="Calibri Light"/>
          <w:color w:val="800000"/>
          <w:sz w:val="16"/>
        </w:rPr>
        <w:t>Arkansas Department of Education (ADE) survey given to</w:t>
      </w:r>
      <w:r w:rsidR="003A55CB">
        <w:rPr>
          <w:rFonts w:ascii="Calibri Light" w:hAnsi="Calibri Light" w:cs="Calibri Light"/>
          <w:color w:val="800000"/>
          <w:sz w:val="16"/>
        </w:rPr>
        <w:t xml:space="preserve"> the employers of</w:t>
      </w:r>
      <w:r w:rsidRPr="003A55CB">
        <w:rPr>
          <w:rFonts w:ascii="Calibri Light" w:hAnsi="Calibri Light" w:cs="Calibri Light"/>
          <w:color w:val="800000"/>
          <w:sz w:val="16"/>
        </w:rPr>
        <w:t xml:space="preserve"> Year</w:t>
      </w:r>
      <w:r w:rsidR="003A55CB">
        <w:rPr>
          <w:rFonts w:ascii="Calibri Light" w:hAnsi="Calibri Light" w:cs="Calibri Light"/>
          <w:color w:val="800000"/>
          <w:sz w:val="16"/>
        </w:rPr>
        <w:t xml:space="preserve"> 1 completers</w:t>
      </w:r>
      <w:r w:rsidR="00907492">
        <w:rPr>
          <w:rFonts w:ascii="Calibri Light" w:hAnsi="Calibri Light" w:cs="Calibri Light"/>
          <w:color w:val="800000"/>
          <w:sz w:val="16"/>
        </w:rPr>
        <w:t xml:space="preserve"> (September 1, 2016 – August 31, 2017).</w:t>
      </w:r>
      <w:r w:rsidR="003A55CB">
        <w:rPr>
          <w:rFonts w:ascii="Calibri Light" w:hAnsi="Calibri Light" w:cs="Calibri Light"/>
          <w:color w:val="800000"/>
          <w:sz w:val="16"/>
        </w:rPr>
        <w:t xml:space="preserve"> </w:t>
      </w:r>
    </w:p>
    <w:p w14:paraId="1A0CF723" w14:textId="77777777" w:rsidR="001E05BD" w:rsidRPr="003A55CB" w:rsidRDefault="001E05BD" w:rsidP="001E05BD">
      <w:pPr>
        <w:pStyle w:val="ListParagraph"/>
        <w:numPr>
          <w:ilvl w:val="0"/>
          <w:numId w:val="1"/>
        </w:numPr>
        <w:rPr>
          <w:rFonts w:ascii="Calibri Light" w:hAnsi="Calibri Light" w:cs="Calibri Light"/>
          <w:i/>
          <w:color w:val="800000"/>
          <w:sz w:val="16"/>
        </w:rPr>
      </w:pPr>
      <w:r w:rsidRPr="003A55CB">
        <w:rPr>
          <w:rFonts w:ascii="Calibri Light" w:hAnsi="Calibri Light" w:cs="Calibri Light"/>
          <w:color w:val="800000"/>
          <w:sz w:val="16"/>
        </w:rPr>
        <w:t>Survey items based on a rating scale of 1 to 4 (</w:t>
      </w:r>
      <w:r w:rsidRPr="003A55CB">
        <w:rPr>
          <w:rFonts w:ascii="Calibri Light" w:hAnsi="Calibri Light" w:cs="Calibri Light"/>
          <w:i/>
          <w:color w:val="800000"/>
          <w:sz w:val="16"/>
          <w:szCs w:val="18"/>
        </w:rPr>
        <w:t>1-Not prepared in this area; 2-Minimally prepared; 3-Adequately prepared; 4-Well prepared; N/A</w:t>
      </w:r>
      <w:r w:rsidRPr="003A55CB">
        <w:rPr>
          <w:rFonts w:ascii="Calibri Light" w:hAnsi="Calibri Light" w:cs="Calibri Light"/>
          <w:color w:val="800000"/>
          <w:sz w:val="16"/>
        </w:rPr>
        <w:t>)</w:t>
      </w:r>
    </w:p>
    <w:p w14:paraId="7E71C90F" w14:textId="506E8803" w:rsidR="001E05BD" w:rsidRPr="003A55CB" w:rsidRDefault="001E05BD" w:rsidP="001E05BD">
      <w:pPr>
        <w:pStyle w:val="ListParagraph"/>
        <w:numPr>
          <w:ilvl w:val="0"/>
          <w:numId w:val="1"/>
        </w:numPr>
        <w:rPr>
          <w:rFonts w:ascii="Calibri Light" w:hAnsi="Calibri Light" w:cs="Calibri Light"/>
          <w:i/>
          <w:color w:val="800000"/>
          <w:sz w:val="16"/>
        </w:rPr>
      </w:pPr>
      <w:r w:rsidRPr="003A55CB">
        <w:rPr>
          <w:rFonts w:ascii="Calibri Light" w:hAnsi="Calibri Light" w:cs="Calibri Light"/>
          <w:color w:val="800000"/>
          <w:sz w:val="16"/>
        </w:rPr>
        <w:t xml:space="preserve">The means in the table below are from the </w:t>
      </w:r>
      <w:r w:rsidR="003A55CB">
        <w:rPr>
          <w:rFonts w:ascii="Calibri Light" w:hAnsi="Calibri Light" w:cs="Calibri Light"/>
          <w:color w:val="800000"/>
          <w:sz w:val="16"/>
        </w:rPr>
        <w:t>second year</w:t>
      </w:r>
      <w:r w:rsidRPr="003A55CB">
        <w:rPr>
          <w:rFonts w:ascii="Calibri Light" w:hAnsi="Calibri Light" w:cs="Calibri Light"/>
          <w:color w:val="800000"/>
          <w:sz w:val="16"/>
        </w:rPr>
        <w:t xml:space="preserve"> of data made available to SAU </w:t>
      </w:r>
    </w:p>
    <w:p w14:paraId="6E3B525C" w14:textId="77777777" w:rsidR="001E05BD" w:rsidRPr="003A55CB" w:rsidRDefault="001E05BD" w:rsidP="001E05BD">
      <w:pPr>
        <w:pStyle w:val="ListParagraph"/>
        <w:numPr>
          <w:ilvl w:val="0"/>
          <w:numId w:val="1"/>
        </w:numPr>
        <w:rPr>
          <w:rFonts w:ascii="Calibri Light" w:hAnsi="Calibri Light" w:cs="Calibri Light"/>
          <w:i/>
          <w:color w:val="800000"/>
          <w:sz w:val="16"/>
        </w:rPr>
      </w:pPr>
      <w:r w:rsidRPr="003A55CB">
        <w:rPr>
          <w:rFonts w:ascii="Calibri Light" w:hAnsi="Calibri Light" w:cs="Calibri Light"/>
          <w:color w:val="800000"/>
          <w:sz w:val="16"/>
        </w:rPr>
        <w:t>Data is presented as it was delivered from ADE</w:t>
      </w:r>
    </w:p>
    <w:p w14:paraId="74D394D2" w14:textId="77777777" w:rsidR="001E05BD" w:rsidRPr="003A55CB" w:rsidRDefault="001E05BD" w:rsidP="001E05BD">
      <w:pPr>
        <w:pStyle w:val="ListParagraph"/>
        <w:numPr>
          <w:ilvl w:val="0"/>
          <w:numId w:val="1"/>
        </w:numPr>
        <w:rPr>
          <w:rFonts w:ascii="Calibri Light" w:hAnsi="Calibri Light" w:cs="Calibri Light"/>
          <w:i/>
          <w:color w:val="800000"/>
          <w:sz w:val="16"/>
        </w:rPr>
      </w:pPr>
      <w:r w:rsidRPr="003A55CB">
        <w:rPr>
          <w:rFonts w:ascii="Calibri Light" w:hAnsi="Calibri Light" w:cs="Calibri Light"/>
          <w:color w:val="800000"/>
          <w:sz w:val="16"/>
        </w:rPr>
        <w:t xml:space="preserve">Faculty are </w:t>
      </w:r>
      <w:r w:rsidR="00CE73C9" w:rsidRPr="003A55CB">
        <w:rPr>
          <w:rFonts w:ascii="Calibri Light" w:hAnsi="Calibri Light" w:cs="Calibri Light"/>
          <w:color w:val="800000"/>
          <w:sz w:val="16"/>
        </w:rPr>
        <w:t>particularly interested in studying</w:t>
      </w:r>
      <w:r w:rsidRPr="003A55CB">
        <w:rPr>
          <w:rFonts w:ascii="Calibri Light" w:hAnsi="Calibri Light" w:cs="Calibri Light"/>
          <w:color w:val="800000"/>
          <w:sz w:val="16"/>
        </w:rPr>
        <w:t xml:space="preserve"> any of the survey items with a mean score of less than 3.00</w:t>
      </w:r>
      <w:r w:rsidR="00CE73C9" w:rsidRPr="003A55CB">
        <w:rPr>
          <w:rFonts w:ascii="Calibri Light" w:hAnsi="Calibri Light" w:cs="Calibri Light"/>
          <w:color w:val="800000"/>
          <w:sz w:val="16"/>
        </w:rPr>
        <w:t>, as this would indicate a “</w:t>
      </w:r>
      <w:r w:rsidR="00CE73C9" w:rsidRPr="003A55CB">
        <w:rPr>
          <w:rFonts w:ascii="Calibri Light" w:hAnsi="Calibri Light" w:cs="Calibri Light"/>
          <w:i/>
          <w:color w:val="800000"/>
          <w:sz w:val="16"/>
        </w:rPr>
        <w:t>minimally prepared</w:t>
      </w:r>
      <w:r w:rsidR="00CE73C9" w:rsidRPr="003A55CB">
        <w:rPr>
          <w:rFonts w:ascii="Calibri Light" w:hAnsi="Calibri Light" w:cs="Calibri Light"/>
          <w:color w:val="800000"/>
          <w:sz w:val="16"/>
        </w:rPr>
        <w:t>” average mean</w:t>
      </w:r>
      <w:r w:rsidRPr="003A55CB">
        <w:rPr>
          <w:rFonts w:ascii="Calibri Light" w:hAnsi="Calibri Light" w:cs="Calibri Light"/>
          <w:color w:val="800000"/>
          <w:sz w:val="16"/>
        </w:rPr>
        <w:t xml:space="preserve"> </w:t>
      </w:r>
    </w:p>
    <w:p w14:paraId="207449B7" w14:textId="3B64C8DC" w:rsidR="008A3CDE" w:rsidRPr="003A55CB" w:rsidRDefault="008A3CDE" w:rsidP="003A55CB">
      <w:pPr>
        <w:pStyle w:val="ListParagraph"/>
        <w:ind w:left="360"/>
        <w:rPr>
          <w:rFonts w:ascii="Calibri Light" w:hAnsi="Calibri Light" w:cs="Calibri Light"/>
          <w:i/>
          <w:color w:val="8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4"/>
        <w:gridCol w:w="1932"/>
        <w:gridCol w:w="1932"/>
      </w:tblGrid>
      <w:tr w:rsidR="003A55CB" w:rsidRPr="009477A0" w14:paraId="312B0A60" w14:textId="77777777" w:rsidTr="003A55CB">
        <w:trPr>
          <w:trHeight w:val="305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283CA2EF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966" w:type="pct"/>
            <w:shd w:val="clear" w:color="auto" w:fill="auto"/>
            <w:noWrap/>
            <w:vAlign w:val="bottom"/>
            <w:hideMark/>
          </w:tcPr>
          <w:p w14:paraId="3943802B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  <w:t>Employers</w:t>
            </w:r>
          </w:p>
          <w:p w14:paraId="6D98C730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  <w:t>(SAU)</w:t>
            </w:r>
          </w:p>
        </w:tc>
        <w:tc>
          <w:tcPr>
            <w:tcW w:w="966" w:type="pct"/>
          </w:tcPr>
          <w:p w14:paraId="191E66EA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  <w:t>Employers</w:t>
            </w:r>
          </w:p>
          <w:p w14:paraId="3E5ED6D4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  <w:t>(State)</w:t>
            </w:r>
          </w:p>
        </w:tc>
      </w:tr>
      <w:tr w:rsidR="003A55CB" w:rsidRPr="009477A0" w14:paraId="6C119FAC" w14:textId="77777777" w:rsidTr="003A55CB">
        <w:trPr>
          <w:trHeight w:val="42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5B39DF50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6" w:type="pct"/>
            <w:shd w:val="clear" w:color="auto" w:fill="auto"/>
            <w:noWrap/>
            <w:vAlign w:val="bottom"/>
            <w:hideMark/>
          </w:tcPr>
          <w:p w14:paraId="5638E31E" w14:textId="26F79E33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16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16"/>
                <w:szCs w:val="16"/>
              </w:rPr>
              <w:t>n=18</w:t>
            </w:r>
          </w:p>
        </w:tc>
        <w:tc>
          <w:tcPr>
            <w:tcW w:w="966" w:type="pct"/>
          </w:tcPr>
          <w:p w14:paraId="5F6DD4AE" w14:textId="44F095A8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16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16"/>
                <w:szCs w:val="16"/>
              </w:rPr>
              <w:t>n=450</w:t>
            </w:r>
          </w:p>
        </w:tc>
      </w:tr>
      <w:tr w:rsidR="003A55CB" w:rsidRPr="009477A0" w14:paraId="10837359" w14:textId="77777777" w:rsidTr="003A55CB">
        <w:trPr>
          <w:trHeight w:val="288"/>
        </w:trPr>
        <w:tc>
          <w:tcPr>
            <w:tcW w:w="3068" w:type="pct"/>
            <w:shd w:val="clear" w:color="auto" w:fill="BFBFBF" w:themeFill="background1" w:themeFillShade="BF"/>
            <w:noWrap/>
            <w:vAlign w:val="bottom"/>
          </w:tcPr>
          <w:p w14:paraId="7B277980" w14:textId="77777777" w:rsidR="003A55CB" w:rsidRDefault="003A55CB" w:rsidP="001E05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  <w:t>DOMAIN 1</w:t>
            </w:r>
          </w:p>
          <w:p w14:paraId="346D129F" w14:textId="77777777" w:rsidR="003A55CB" w:rsidRPr="0063515D" w:rsidRDefault="003A55CB" w:rsidP="0063515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TESS.1; </w:t>
            </w:r>
            <w:proofErr w:type="spellStart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>InTASC</w:t>
            </w:r>
            <w:proofErr w:type="spellEnd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 1, 2, 4, 6, 7; ISTE 5, 7</w:t>
            </w:r>
          </w:p>
        </w:tc>
        <w:tc>
          <w:tcPr>
            <w:tcW w:w="966" w:type="pct"/>
            <w:shd w:val="clear" w:color="auto" w:fill="BFBFBF" w:themeFill="background1" w:themeFillShade="BF"/>
            <w:noWrap/>
            <w:vAlign w:val="bottom"/>
          </w:tcPr>
          <w:p w14:paraId="57701F9F" w14:textId="77777777" w:rsidR="003A55CB" w:rsidRPr="009477A0" w:rsidRDefault="003A55CB" w:rsidP="001E05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966" w:type="pct"/>
            <w:shd w:val="clear" w:color="auto" w:fill="BFBFBF" w:themeFill="background1" w:themeFillShade="BF"/>
          </w:tcPr>
          <w:p w14:paraId="037A0A01" w14:textId="77777777" w:rsidR="003A55CB" w:rsidRPr="009477A0" w:rsidRDefault="003A55CB" w:rsidP="001E05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</w:p>
        </w:tc>
      </w:tr>
      <w:tr w:rsidR="003A55CB" w:rsidRPr="009477A0" w14:paraId="57B20509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1DECE484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1a: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Demonstrating Knowledge of Content and Pedagogy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240764DC" w14:textId="248E228E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3.56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4AB51BA5" w14:textId="45088B75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3.50</w:t>
            </w:r>
          </w:p>
        </w:tc>
      </w:tr>
      <w:tr w:rsidR="003A55CB" w:rsidRPr="009477A0" w14:paraId="2AB5B8B6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63780515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1b: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Demonstrating Knowledge of Students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0E67D62A" w14:textId="7BD074FA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3.50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408FD370" w14:textId="4D9E17EC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3.42</w:t>
            </w:r>
          </w:p>
        </w:tc>
      </w:tr>
      <w:tr w:rsidR="003A55CB" w:rsidRPr="009477A0" w14:paraId="02982087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187BF0FE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1c: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Setting Instructional Outcomes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65D8EFB3" w14:textId="0724A165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3.39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4E70A568" w14:textId="1358B82B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3.33</w:t>
            </w:r>
          </w:p>
        </w:tc>
      </w:tr>
      <w:tr w:rsidR="003A55CB" w:rsidRPr="009477A0" w14:paraId="3BADEC81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212480CF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1d: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Demonstrating Knowledge of Resources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106E4DA9" w14:textId="23505BDC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3.67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72A6094F" w14:textId="14FEF063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3.44</w:t>
            </w:r>
          </w:p>
        </w:tc>
      </w:tr>
      <w:tr w:rsidR="003A55CB" w:rsidRPr="009477A0" w14:paraId="7CE8D646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1A56ED67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1e: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Designing Coherent Instruction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13DE4869" w14:textId="5CE0DB4A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3.39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518C9C44" w14:textId="366327E9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3.42</w:t>
            </w:r>
          </w:p>
        </w:tc>
      </w:tr>
      <w:tr w:rsidR="003A55CB" w:rsidRPr="009477A0" w14:paraId="51BC2228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0B713963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1f: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Designing Student Assessments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11B34B7B" w14:textId="394993F4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3.28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26637039" w14:textId="3DA3222F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3.28</w:t>
            </w:r>
          </w:p>
        </w:tc>
      </w:tr>
      <w:tr w:rsidR="003A55CB" w:rsidRPr="009477A0" w14:paraId="426E8920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</w:tcPr>
          <w:p w14:paraId="39773957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6"/>
              </w:rPr>
              <w:t>Average for Domain 1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2DDF8C28" w14:textId="0DF83770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3.47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7410B44B" w14:textId="06737CA3" w:rsidR="003A55CB" w:rsidRPr="003A55CB" w:rsidRDefault="003A55CB" w:rsidP="0007137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3.40</w:t>
            </w:r>
          </w:p>
        </w:tc>
      </w:tr>
      <w:tr w:rsidR="003A55CB" w:rsidRPr="009477A0" w14:paraId="4547DF77" w14:textId="77777777" w:rsidTr="003A55CB">
        <w:trPr>
          <w:trHeight w:val="288"/>
        </w:trPr>
        <w:tc>
          <w:tcPr>
            <w:tcW w:w="3068" w:type="pct"/>
            <w:shd w:val="clear" w:color="auto" w:fill="BFBFBF" w:themeFill="background1" w:themeFillShade="BF"/>
            <w:noWrap/>
            <w:vAlign w:val="bottom"/>
            <w:hideMark/>
          </w:tcPr>
          <w:p w14:paraId="258F5BC8" w14:textId="77777777" w:rsid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  <w:t>DOMAIN 2</w:t>
            </w:r>
          </w:p>
          <w:p w14:paraId="07C0C241" w14:textId="77777777" w:rsidR="003A55CB" w:rsidRPr="0063515D" w:rsidRDefault="003A55CB" w:rsidP="0063515D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TESS.2; </w:t>
            </w:r>
            <w:proofErr w:type="spellStart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>InTASC</w:t>
            </w:r>
            <w:proofErr w:type="spellEnd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 3; ISTE 3</w:t>
            </w:r>
          </w:p>
        </w:tc>
        <w:tc>
          <w:tcPr>
            <w:tcW w:w="966" w:type="pct"/>
            <w:shd w:val="clear" w:color="auto" w:fill="BFBFBF" w:themeFill="background1" w:themeFillShade="BF"/>
            <w:noWrap/>
            <w:vAlign w:val="bottom"/>
            <w:hideMark/>
          </w:tcPr>
          <w:p w14:paraId="08E8ECBE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966" w:type="pct"/>
            <w:shd w:val="clear" w:color="auto" w:fill="BFBFBF" w:themeFill="background1" w:themeFillShade="BF"/>
          </w:tcPr>
          <w:p w14:paraId="6ACEE02E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</w:p>
        </w:tc>
      </w:tr>
      <w:tr w:rsidR="003A55CB" w:rsidRPr="009477A0" w14:paraId="4B73DF67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7154A721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2a: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Creating an Environment of Respect and Rapport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579C8117" w14:textId="56BDCAF6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3.56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2A1142F9" w14:textId="412EDB62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3.49</w:t>
            </w:r>
          </w:p>
        </w:tc>
      </w:tr>
      <w:tr w:rsidR="003A55CB" w:rsidRPr="009477A0" w14:paraId="2870E8B2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374E5566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2b: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Establishing a Culture for Learning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532F01DF" w14:textId="4A20189B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3.39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4D679D5B" w14:textId="77097733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3.41</w:t>
            </w:r>
          </w:p>
        </w:tc>
      </w:tr>
      <w:tr w:rsidR="003A55CB" w:rsidRPr="009477A0" w14:paraId="7C2BDFAB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0E9BAD8A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2c: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Managing Classroom Procedures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055D3571" w14:textId="4C5CD8F6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3.28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63D7ED44" w14:textId="7089F1AD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3.27</w:t>
            </w:r>
          </w:p>
        </w:tc>
      </w:tr>
      <w:tr w:rsidR="003A55CB" w:rsidRPr="009477A0" w14:paraId="42E34934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3A309EC1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2d: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Managing Student Behavior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764737CA" w14:textId="20FC295D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3.22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25342CE2" w14:textId="37E53E0B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3.14</w:t>
            </w:r>
          </w:p>
        </w:tc>
      </w:tr>
      <w:tr w:rsidR="003A55CB" w:rsidRPr="009477A0" w14:paraId="6D841FCA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247C2131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2e: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Organizing Physical Space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49120B59" w14:textId="04CBA004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3.61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544A3829" w14:textId="5D163467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3.54</w:t>
            </w:r>
          </w:p>
        </w:tc>
      </w:tr>
      <w:tr w:rsidR="003A55CB" w:rsidRPr="009477A0" w14:paraId="0B22FB9B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</w:tcPr>
          <w:p w14:paraId="00C479E7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6"/>
              </w:rPr>
              <w:t>Average for Domain 2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0C854D97" w14:textId="6BF3292C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3.41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70FE55F2" w14:textId="6A7F6E59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3.37</w:t>
            </w:r>
          </w:p>
        </w:tc>
      </w:tr>
      <w:tr w:rsidR="003A55CB" w:rsidRPr="009477A0" w14:paraId="46B82114" w14:textId="77777777" w:rsidTr="003A55CB">
        <w:trPr>
          <w:trHeight w:val="288"/>
        </w:trPr>
        <w:tc>
          <w:tcPr>
            <w:tcW w:w="3068" w:type="pct"/>
            <w:shd w:val="clear" w:color="auto" w:fill="BFBFBF" w:themeFill="background1" w:themeFillShade="BF"/>
            <w:noWrap/>
            <w:vAlign w:val="bottom"/>
            <w:hideMark/>
          </w:tcPr>
          <w:p w14:paraId="581B197D" w14:textId="77777777" w:rsid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DOMAIN 3</w:t>
            </w:r>
          </w:p>
          <w:p w14:paraId="22ADA262" w14:textId="77777777" w:rsidR="003A55CB" w:rsidRPr="0063515D" w:rsidRDefault="003A55CB" w:rsidP="0063515D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TESS.3; </w:t>
            </w:r>
            <w:proofErr w:type="spellStart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>InTASC</w:t>
            </w:r>
            <w:proofErr w:type="spellEnd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 3, 4, 5, 6, 8; ISTE 3, 6, 7</w:t>
            </w:r>
          </w:p>
        </w:tc>
        <w:tc>
          <w:tcPr>
            <w:tcW w:w="966" w:type="pct"/>
            <w:shd w:val="clear" w:color="auto" w:fill="BFBFBF" w:themeFill="background1" w:themeFillShade="BF"/>
            <w:noWrap/>
            <w:vAlign w:val="bottom"/>
            <w:hideMark/>
          </w:tcPr>
          <w:p w14:paraId="7A3B587F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966" w:type="pct"/>
            <w:shd w:val="clear" w:color="auto" w:fill="BFBFBF" w:themeFill="background1" w:themeFillShade="BF"/>
          </w:tcPr>
          <w:p w14:paraId="51BF0A9A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</w:tr>
      <w:tr w:rsidR="003A55CB" w:rsidRPr="009477A0" w14:paraId="1D98D732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20D9D85B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3a: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Communicating with Students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604DD799" w14:textId="12C67B05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3.33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2554FFCB" w14:textId="4C4062AC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3.44</w:t>
            </w:r>
          </w:p>
        </w:tc>
      </w:tr>
      <w:tr w:rsidR="003A55CB" w:rsidRPr="009477A0" w14:paraId="3D7F6788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0B846585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3b: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Using Questioning and Discussion Techniques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71375650" w14:textId="636A1FD1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3.24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72F72156" w14:textId="049110DB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3.23</w:t>
            </w:r>
          </w:p>
        </w:tc>
      </w:tr>
      <w:tr w:rsidR="003A55CB" w:rsidRPr="009477A0" w14:paraId="2B4CDB1C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5BB3B1A2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3c: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Engaging Students in Learning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17B27CE7" w14:textId="79538D2F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3.29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356E76B8" w14:textId="6A561C85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3.33</w:t>
            </w:r>
          </w:p>
        </w:tc>
      </w:tr>
      <w:tr w:rsidR="003A55CB" w:rsidRPr="009477A0" w14:paraId="30C0DFAF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3E7E8BE0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3d: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Using Assessment in Instruction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17C8EDE3" w14:textId="155C325F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3.28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125AEB52" w14:textId="393611D0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3.21</w:t>
            </w:r>
          </w:p>
        </w:tc>
      </w:tr>
      <w:tr w:rsidR="003A55CB" w:rsidRPr="009477A0" w14:paraId="3D723A1A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7251FC56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3e: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Demonstrating Flexibility and Responsiveness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4E4A5F2F" w14:textId="0D052861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3.44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1632764D" w14:textId="3CA24B78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3.39</w:t>
            </w:r>
          </w:p>
        </w:tc>
      </w:tr>
      <w:tr w:rsidR="003A55CB" w:rsidRPr="009477A0" w14:paraId="57D55D49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622BD195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 </w:t>
            </w:r>
            <w:r w:rsidRPr="009477A0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6"/>
              </w:rPr>
              <w:t>Average for Domain 3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46142EAD" w14:textId="5CE83A86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3.32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0F4F6BC2" w14:textId="541A0430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3.32</w:t>
            </w:r>
          </w:p>
        </w:tc>
      </w:tr>
      <w:tr w:rsidR="003A55CB" w:rsidRPr="009477A0" w14:paraId="1FD9584E" w14:textId="77777777" w:rsidTr="003A55CB">
        <w:trPr>
          <w:trHeight w:val="288"/>
        </w:trPr>
        <w:tc>
          <w:tcPr>
            <w:tcW w:w="3068" w:type="pct"/>
            <w:shd w:val="clear" w:color="auto" w:fill="BFBFBF" w:themeFill="background1" w:themeFillShade="BF"/>
            <w:noWrap/>
            <w:vAlign w:val="bottom"/>
          </w:tcPr>
          <w:p w14:paraId="2F68A8DD" w14:textId="77777777" w:rsid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  <w:t>DOMAIN 4</w:t>
            </w:r>
          </w:p>
          <w:p w14:paraId="5D22FCFA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TESS.4; </w:t>
            </w:r>
            <w:proofErr w:type="spellStart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>InTASC</w:t>
            </w:r>
            <w:proofErr w:type="spellEnd"/>
            <w:r w:rsidRPr="0063515D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20"/>
              </w:rPr>
              <w:t xml:space="preserve"> 9, 10; ISTE 1, 2</w:t>
            </w:r>
          </w:p>
        </w:tc>
        <w:tc>
          <w:tcPr>
            <w:tcW w:w="966" w:type="pct"/>
            <w:shd w:val="clear" w:color="auto" w:fill="BFBFBF" w:themeFill="background1" w:themeFillShade="BF"/>
            <w:noWrap/>
            <w:vAlign w:val="bottom"/>
          </w:tcPr>
          <w:p w14:paraId="224FE2BB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966" w:type="pct"/>
            <w:shd w:val="clear" w:color="auto" w:fill="BFBFBF" w:themeFill="background1" w:themeFillShade="BF"/>
          </w:tcPr>
          <w:p w14:paraId="6DB9E697" w14:textId="77777777" w:rsidR="003A55CB" w:rsidRPr="009477A0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</w:rPr>
            </w:pPr>
          </w:p>
        </w:tc>
      </w:tr>
      <w:tr w:rsidR="003A55CB" w:rsidRPr="009477A0" w14:paraId="0E8FD181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701D58A9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4a: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Reflecting on Teaching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30DF51AB" w14:textId="19EAB7C1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3.47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024CD3C8" w14:textId="62BE6129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3.38</w:t>
            </w:r>
          </w:p>
        </w:tc>
      </w:tr>
      <w:tr w:rsidR="003A55CB" w:rsidRPr="009477A0" w14:paraId="1FF52082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3E64F15E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4b: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Maintaining Accurate Records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418C8322" w14:textId="5C982886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3.47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468F7CFA" w14:textId="350D8544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3.46</w:t>
            </w:r>
          </w:p>
        </w:tc>
      </w:tr>
      <w:tr w:rsidR="003A55CB" w:rsidRPr="009477A0" w14:paraId="3991381C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19ECE58F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4c: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Communicating with Families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302F599F" w14:textId="54578C79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3.28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238DE4DB" w14:textId="3E935415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3.30</w:t>
            </w:r>
          </w:p>
        </w:tc>
      </w:tr>
      <w:tr w:rsidR="003A55CB" w:rsidRPr="009477A0" w14:paraId="1A42F123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132266F0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4d: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Participating in a Professional Community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29D3B3B8" w14:textId="3DB4D819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3.44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39A26BF7" w14:textId="6682AF7E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3.45</w:t>
            </w:r>
          </w:p>
        </w:tc>
      </w:tr>
      <w:tr w:rsidR="003A55CB" w:rsidRPr="009477A0" w14:paraId="690347F0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15298291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4e: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Growing and Developing Professionally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7482A6A6" w14:textId="5DD2FE43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3.56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5340346D" w14:textId="5DCEEDB9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3.46</w:t>
            </w:r>
          </w:p>
        </w:tc>
      </w:tr>
      <w:tr w:rsidR="003A55CB" w:rsidRPr="009477A0" w14:paraId="04B61F4F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  <w:hideMark/>
          </w:tcPr>
          <w:p w14:paraId="3DEBAB63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4f:</w:t>
            </w:r>
            <w:r w:rsidRPr="009477A0">
              <w:rPr>
                <w:rFonts w:ascii="Calibri Light" w:eastAsia="Times New Roman" w:hAnsi="Calibri Light" w:cs="Calibri Light"/>
                <w:color w:val="333333"/>
                <w:sz w:val="16"/>
                <w:szCs w:val="16"/>
              </w:rPr>
              <w:t xml:space="preserve"> Showing Professionalism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151ACFB5" w14:textId="02713F9D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color w:val="000000"/>
                <w:sz w:val="20"/>
                <w:szCs w:val="16"/>
              </w:rPr>
              <w:t>3.56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409F04F5" w14:textId="4DA21365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i/>
                <w:color w:val="800000"/>
                <w:sz w:val="20"/>
                <w:szCs w:val="16"/>
              </w:rPr>
              <w:t>3.56</w:t>
            </w:r>
          </w:p>
        </w:tc>
      </w:tr>
      <w:tr w:rsidR="003A55CB" w:rsidRPr="009477A0" w14:paraId="220E1650" w14:textId="77777777" w:rsidTr="003A55CB">
        <w:trPr>
          <w:trHeight w:val="288"/>
        </w:trPr>
        <w:tc>
          <w:tcPr>
            <w:tcW w:w="3068" w:type="pct"/>
            <w:shd w:val="clear" w:color="auto" w:fill="auto"/>
            <w:noWrap/>
            <w:vAlign w:val="bottom"/>
          </w:tcPr>
          <w:p w14:paraId="59DBD4AB" w14:textId="77777777" w:rsidR="003A55CB" w:rsidRPr="009477A0" w:rsidRDefault="003A55CB" w:rsidP="00B22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77A0">
              <w:rPr>
                <w:rFonts w:ascii="Calibri Light" w:eastAsia="Times New Roman" w:hAnsi="Calibri Light" w:cs="Calibri Light"/>
                <w:i/>
                <w:color w:val="C00000"/>
                <w:sz w:val="16"/>
                <w:szCs w:val="16"/>
              </w:rPr>
              <w:t>Average for Domain 4</w:t>
            </w:r>
          </w:p>
        </w:tc>
        <w:tc>
          <w:tcPr>
            <w:tcW w:w="966" w:type="pct"/>
            <w:shd w:val="clear" w:color="auto" w:fill="auto"/>
            <w:noWrap/>
            <w:vAlign w:val="bottom"/>
          </w:tcPr>
          <w:p w14:paraId="617A7C16" w14:textId="7726D5AD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3.46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32F73B46" w14:textId="27E054A5" w:rsidR="003A55CB" w:rsidRPr="003A55CB" w:rsidRDefault="003A55CB" w:rsidP="00B2208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</w:pPr>
            <w:r w:rsidRPr="003A55CB">
              <w:rPr>
                <w:rFonts w:ascii="Calibri Light" w:eastAsia="Times New Roman" w:hAnsi="Calibri Light" w:cs="Calibri Light"/>
                <w:b/>
                <w:color w:val="800000"/>
                <w:sz w:val="20"/>
                <w:szCs w:val="16"/>
              </w:rPr>
              <w:t>3.44</w:t>
            </w:r>
          </w:p>
        </w:tc>
      </w:tr>
    </w:tbl>
    <w:p w14:paraId="117AB13D" w14:textId="77777777" w:rsidR="00E84E10" w:rsidRDefault="00E84E10"/>
    <w:sectPr w:rsidR="00E84E10" w:rsidSect="0063515D">
      <w:headerReference w:type="default" r:id="rId7"/>
      <w:pgSz w:w="12240" w:h="15840"/>
      <w:pgMar w:top="1440" w:right="1152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FCBF" w14:textId="77777777" w:rsidR="00E8297F" w:rsidRDefault="00E8297F" w:rsidP="00B22087">
      <w:pPr>
        <w:spacing w:after="0" w:line="240" w:lineRule="auto"/>
      </w:pPr>
      <w:r>
        <w:separator/>
      </w:r>
    </w:p>
  </w:endnote>
  <w:endnote w:type="continuationSeparator" w:id="0">
    <w:p w14:paraId="3214CDF1" w14:textId="77777777" w:rsidR="00E8297F" w:rsidRDefault="00E8297F" w:rsidP="00B2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0E4C7" w14:textId="77777777" w:rsidR="00E8297F" w:rsidRDefault="00E8297F" w:rsidP="00B22087">
      <w:pPr>
        <w:spacing w:after="0" w:line="240" w:lineRule="auto"/>
      </w:pPr>
      <w:r>
        <w:separator/>
      </w:r>
    </w:p>
  </w:footnote>
  <w:footnote w:type="continuationSeparator" w:id="0">
    <w:p w14:paraId="26047128" w14:textId="77777777" w:rsidR="00E8297F" w:rsidRDefault="00E8297F" w:rsidP="00B2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b/>
        <w:sz w:val="24"/>
        <w:szCs w:val="20"/>
      </w:rPr>
      <w:alias w:val="Author"/>
      <w:tag w:val=""/>
      <w:id w:val="-952397527"/>
      <w:placeholder>
        <w:docPart w:val="E69AF20533B647B38E270EA2B30191D4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944C012" w14:textId="77777777" w:rsidR="0063515D" w:rsidRPr="00B02EEF" w:rsidRDefault="0063515D" w:rsidP="0063515D">
        <w:pPr>
          <w:pStyle w:val="Header"/>
          <w:jc w:val="cen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b/>
            <w:sz w:val="24"/>
            <w:szCs w:val="20"/>
          </w:rPr>
          <w:t>Arkansas Department of Education</w:t>
        </w:r>
      </w:p>
    </w:sdtContent>
  </w:sdt>
  <w:p w14:paraId="4D892C29" w14:textId="494FE66B" w:rsidR="00B22087" w:rsidRPr="0063515D" w:rsidRDefault="0063515D" w:rsidP="0063515D">
    <w:pPr>
      <w:pStyle w:val="Header"/>
      <w:jc w:val="center"/>
      <w:rPr>
        <w:rFonts w:ascii="Verdana" w:hAnsi="Verdana"/>
        <w:caps/>
      </w:rPr>
    </w:pPr>
    <w:r>
      <w:rPr>
        <w:caps/>
        <w:color w:val="5B9BD5" w:themeColor="accent1"/>
      </w:rPr>
      <w:t xml:space="preserve"> </w:t>
    </w:r>
    <w:sdt>
      <w:sdtPr>
        <w:rPr>
          <w:rFonts w:ascii="Calibri Light" w:hAnsi="Calibri Light" w:cs="Calibri Light"/>
          <w:b/>
          <w:caps/>
        </w:rPr>
        <w:alias w:val="Title"/>
        <w:tag w:val=""/>
        <w:id w:val="-1954942076"/>
        <w:placeholder>
          <w:docPart w:val="AA44FFAAA2BF4842A62B0C9E98D304D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67876">
          <w:rPr>
            <w:rFonts w:ascii="Calibri Light" w:hAnsi="Calibri Light" w:cs="Calibri Light"/>
            <w:b/>
            <w:caps/>
          </w:rPr>
          <w:t>EMPLOYERS</w:t>
        </w:r>
        <w:r>
          <w:rPr>
            <w:rFonts w:ascii="Calibri Light" w:hAnsi="Calibri Light" w:cs="Calibri Light"/>
            <w:b/>
            <w:caps/>
          </w:rPr>
          <w:t xml:space="preserve"> Survey: </w:t>
        </w:r>
        <w:r w:rsidR="00907492">
          <w:rPr>
            <w:rFonts w:ascii="Calibri Light" w:hAnsi="Calibri Light" w:cs="Calibri Light"/>
            <w:b/>
            <w:caps/>
          </w:rPr>
          <w:t>2017 - 2018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F29F5"/>
    <w:multiLevelType w:val="hybridMultilevel"/>
    <w:tmpl w:val="9AEE2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10"/>
    <w:rsid w:val="00071372"/>
    <w:rsid w:val="001E05BD"/>
    <w:rsid w:val="00263A5F"/>
    <w:rsid w:val="002E1B4C"/>
    <w:rsid w:val="003A55CB"/>
    <w:rsid w:val="003C6795"/>
    <w:rsid w:val="004F35F9"/>
    <w:rsid w:val="0063515D"/>
    <w:rsid w:val="006A6991"/>
    <w:rsid w:val="00723983"/>
    <w:rsid w:val="008472F4"/>
    <w:rsid w:val="008A3CDE"/>
    <w:rsid w:val="00907492"/>
    <w:rsid w:val="009477A0"/>
    <w:rsid w:val="00B22087"/>
    <w:rsid w:val="00BE0B55"/>
    <w:rsid w:val="00C67876"/>
    <w:rsid w:val="00CE73C9"/>
    <w:rsid w:val="00D63C91"/>
    <w:rsid w:val="00E8297F"/>
    <w:rsid w:val="00E8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CF038"/>
  <w15:docId w15:val="{B2F1EA97-8939-E240-A587-F968927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087"/>
  </w:style>
  <w:style w:type="paragraph" w:styleId="Footer">
    <w:name w:val="footer"/>
    <w:basedOn w:val="Normal"/>
    <w:link w:val="FooterChar"/>
    <w:uiPriority w:val="99"/>
    <w:unhideWhenUsed/>
    <w:rsid w:val="00B2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087"/>
  </w:style>
  <w:style w:type="paragraph" w:styleId="BalloonText">
    <w:name w:val="Balloon Text"/>
    <w:basedOn w:val="Normal"/>
    <w:link w:val="BalloonTextChar"/>
    <w:uiPriority w:val="99"/>
    <w:semiHidden/>
    <w:unhideWhenUsed/>
    <w:rsid w:val="0007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9AF20533B647B38E270EA2B301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EFCA-C231-47C2-9A7D-FD28E4F19694}"/>
      </w:docPartPr>
      <w:docPartBody>
        <w:p w:rsidR="00F76658" w:rsidRDefault="0023324B" w:rsidP="0023324B">
          <w:pPr>
            <w:pStyle w:val="E69AF20533B647B38E270EA2B30191D4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AA44FFAAA2BF4842A62B0C9E98D3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B127-8E55-4F7A-B8BB-221D626141AC}"/>
      </w:docPartPr>
      <w:docPartBody>
        <w:p w:rsidR="00F76658" w:rsidRDefault="0023324B" w:rsidP="0023324B">
          <w:pPr>
            <w:pStyle w:val="AA44FFAAA2BF4842A62B0C9E98D304DB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24B"/>
    <w:rsid w:val="0012080D"/>
    <w:rsid w:val="0023324B"/>
    <w:rsid w:val="002C5D5F"/>
    <w:rsid w:val="0075175B"/>
    <w:rsid w:val="00F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9AF20533B647B38E270EA2B30191D4">
    <w:name w:val="E69AF20533B647B38E270EA2B30191D4"/>
    <w:rsid w:val="0023324B"/>
  </w:style>
  <w:style w:type="paragraph" w:customStyle="1" w:styleId="AA44FFAAA2BF4842A62B0C9E98D304DB">
    <w:name w:val="AA44FFAAA2BF4842A62B0C9E98D304DB"/>
    <w:rsid w:val="00233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EMPLOYERS Survey: 2017 - 2018</dc:title>
  <dc:subject/>
  <dc:creator>Arkansas Department of Education</dc:creator>
  <cp:keywords/>
  <dc:description/>
  <cp:lastModifiedBy>Microsoft Office User</cp:lastModifiedBy>
  <cp:revision>3</cp:revision>
  <cp:lastPrinted>2018-03-17T21:21:00Z</cp:lastPrinted>
  <dcterms:created xsi:type="dcterms:W3CDTF">2019-03-10T18:10:00Z</dcterms:created>
  <dcterms:modified xsi:type="dcterms:W3CDTF">2019-03-10T18:13:00Z</dcterms:modified>
</cp:coreProperties>
</file>