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35F" w:rsidRDefault="005D298E">
      <w:pPr>
        <w:spacing w:before="62"/>
        <w:ind w:left="143" w:right="110"/>
        <w:jc w:val="center"/>
        <w:rPr>
          <w:rFonts w:ascii="Arial" w:eastAsia="Arial" w:hAnsi="Arial" w:cs="Arial"/>
          <w:sz w:val="19"/>
          <w:szCs w:val="19"/>
        </w:rPr>
      </w:pPr>
      <w:bookmarkStart w:id="0" w:name="_GoBack"/>
      <w:bookmarkEnd w:id="0"/>
      <w:r>
        <w:rPr>
          <w:rFonts w:ascii="Arial"/>
          <w:b/>
          <w:color w:val="161616"/>
          <w:w w:val="105"/>
          <w:sz w:val="19"/>
        </w:rPr>
        <w:t>DISCLOSURE</w:t>
      </w:r>
      <w:r>
        <w:rPr>
          <w:rFonts w:ascii="Arial"/>
          <w:b/>
          <w:color w:val="161616"/>
          <w:spacing w:val="4"/>
          <w:w w:val="105"/>
          <w:sz w:val="19"/>
        </w:rPr>
        <w:t xml:space="preserve"> </w:t>
      </w:r>
      <w:r>
        <w:rPr>
          <w:rFonts w:ascii="Arial"/>
          <w:b/>
          <w:color w:val="161616"/>
          <w:w w:val="105"/>
          <w:sz w:val="19"/>
        </w:rPr>
        <w:t>LETTER</w:t>
      </w:r>
    </w:p>
    <w:p w:rsidR="0015535F" w:rsidRDefault="0015535F">
      <w:pPr>
        <w:rPr>
          <w:rFonts w:ascii="Arial" w:eastAsia="Arial" w:hAnsi="Arial" w:cs="Arial"/>
          <w:b/>
          <w:bCs/>
          <w:sz w:val="20"/>
          <w:szCs w:val="20"/>
        </w:rPr>
      </w:pPr>
    </w:p>
    <w:p w:rsidR="0015535F" w:rsidRDefault="0015535F">
      <w:pPr>
        <w:rPr>
          <w:rFonts w:ascii="Arial" w:eastAsia="Arial" w:hAnsi="Arial" w:cs="Arial"/>
          <w:b/>
          <w:bCs/>
          <w:sz w:val="20"/>
          <w:szCs w:val="20"/>
        </w:rPr>
      </w:pPr>
    </w:p>
    <w:p w:rsidR="0015535F" w:rsidRDefault="0015535F">
      <w:pPr>
        <w:rPr>
          <w:rFonts w:ascii="Arial" w:eastAsia="Arial" w:hAnsi="Arial" w:cs="Arial"/>
          <w:b/>
          <w:bCs/>
          <w:sz w:val="20"/>
          <w:szCs w:val="20"/>
        </w:rPr>
      </w:pPr>
    </w:p>
    <w:p w:rsidR="0015535F" w:rsidRDefault="0015535F">
      <w:pPr>
        <w:rPr>
          <w:rFonts w:ascii="Arial" w:eastAsia="Arial" w:hAnsi="Arial" w:cs="Arial"/>
          <w:b/>
          <w:bCs/>
          <w:sz w:val="20"/>
          <w:szCs w:val="20"/>
        </w:rPr>
      </w:pPr>
    </w:p>
    <w:p w:rsidR="0015535F" w:rsidRDefault="0015535F">
      <w:pPr>
        <w:spacing w:before="10"/>
        <w:rPr>
          <w:rFonts w:ascii="Arial" w:eastAsia="Arial" w:hAnsi="Arial" w:cs="Arial"/>
          <w:b/>
          <w:bCs/>
          <w:sz w:val="15"/>
          <w:szCs w:val="15"/>
        </w:rPr>
      </w:pPr>
    </w:p>
    <w:p w:rsidR="0015535F" w:rsidRDefault="005D298E">
      <w:pPr>
        <w:pStyle w:val="BodyText"/>
        <w:spacing w:before="74"/>
        <w:ind w:left="130" w:right="6875" w:firstLine="4"/>
      </w:pPr>
      <w:r>
        <w:rPr>
          <w:color w:val="161616"/>
        </w:rPr>
        <w:t xml:space="preserve">Board of Trustees Secretary Southern Arkansas University </w:t>
      </w:r>
      <w:r w:rsidR="006D74B6">
        <w:rPr>
          <w:color w:val="161616"/>
        </w:rPr>
        <w:t>100 E. University, MSC 9392</w:t>
      </w:r>
    </w:p>
    <w:p w:rsidR="006D74B6" w:rsidRDefault="006D74B6">
      <w:pPr>
        <w:pStyle w:val="BodyText"/>
        <w:spacing w:line="484" w:lineRule="auto"/>
        <w:ind w:left="130" w:right="6236"/>
        <w:rPr>
          <w:color w:val="161616"/>
        </w:rPr>
      </w:pPr>
      <w:r>
        <w:rPr>
          <w:color w:val="161616"/>
        </w:rPr>
        <w:t>Magnolia, Arkansas 71753</w:t>
      </w:r>
    </w:p>
    <w:p w:rsidR="0015535F" w:rsidRDefault="005D298E">
      <w:pPr>
        <w:pStyle w:val="BodyText"/>
        <w:spacing w:line="484" w:lineRule="auto"/>
        <w:ind w:left="130" w:right="6236"/>
      </w:pPr>
      <w:r>
        <w:rPr>
          <w:color w:val="161616"/>
        </w:rPr>
        <w:t>Dear Sir/</w:t>
      </w:r>
      <w:r w:rsidR="00F16194">
        <w:rPr>
          <w:color w:val="161616"/>
        </w:rPr>
        <w:t>Madam</w:t>
      </w:r>
      <w:r w:rsidR="00F16194">
        <w:rPr>
          <w:color w:val="161616"/>
          <w:spacing w:val="-33"/>
        </w:rPr>
        <w:t>:</w:t>
      </w:r>
    </w:p>
    <w:p w:rsidR="0015535F" w:rsidRDefault="005D298E">
      <w:pPr>
        <w:pStyle w:val="BodyText"/>
        <w:spacing w:before="2"/>
        <w:ind w:left="120" w:right="103" w:firstLine="737"/>
        <w:jc w:val="both"/>
      </w:pPr>
      <w:r>
        <w:rPr>
          <w:color w:val="161616"/>
        </w:rPr>
        <w:t xml:space="preserve">I have received and read the statement of </w:t>
      </w:r>
      <w:r>
        <w:rPr>
          <w:color w:val="2F2F2F"/>
        </w:rPr>
        <w:t>"</w:t>
      </w:r>
      <w:r>
        <w:rPr>
          <w:color w:val="161616"/>
        </w:rPr>
        <w:t>Conflict-of-Interest Policy</w:t>
      </w:r>
      <w:r>
        <w:rPr>
          <w:color w:val="2F2F2F"/>
        </w:rPr>
        <w:t xml:space="preserve">" </w:t>
      </w:r>
      <w:r>
        <w:rPr>
          <w:color w:val="161616"/>
        </w:rPr>
        <w:t>approved by the Board of Trustees on September 15, 1983, and I am in compliance with the policy except as specifically set forth below.</w:t>
      </w:r>
    </w:p>
    <w:p w:rsidR="0015535F" w:rsidRDefault="0015535F">
      <w:pPr>
        <w:spacing w:before="7"/>
        <w:rPr>
          <w:rFonts w:ascii="Arial" w:eastAsia="Arial" w:hAnsi="Arial" w:cs="Arial"/>
          <w:sz w:val="19"/>
          <w:szCs w:val="19"/>
        </w:rPr>
      </w:pPr>
    </w:p>
    <w:p w:rsidR="0015535F" w:rsidRDefault="005D298E">
      <w:pPr>
        <w:pStyle w:val="BodyText"/>
        <w:ind w:left="120" w:right="103" w:firstLine="732"/>
        <w:jc w:val="both"/>
      </w:pPr>
      <w:r>
        <w:rPr>
          <w:color w:val="161616"/>
        </w:rPr>
        <w:t xml:space="preserve">For the information of Southern Arkansas University, I am listing in the space below all of my </w:t>
      </w:r>
      <w:r>
        <w:rPr>
          <w:color w:val="2F2F2F"/>
        </w:rPr>
        <w:t>"</w:t>
      </w:r>
      <w:r>
        <w:rPr>
          <w:color w:val="161616"/>
        </w:rPr>
        <w:t xml:space="preserve">associates" as defined, and the position and/or interest which I or a member of my family has in each </w:t>
      </w:r>
      <w:r>
        <w:rPr>
          <w:color w:val="2F2F2F"/>
          <w:spacing w:val="2"/>
        </w:rPr>
        <w:t>"</w:t>
      </w:r>
      <w:r>
        <w:rPr>
          <w:color w:val="161616"/>
          <w:spacing w:val="2"/>
        </w:rPr>
        <w:t>associate.</w:t>
      </w:r>
      <w:r>
        <w:rPr>
          <w:color w:val="2F2F2F"/>
          <w:spacing w:val="2"/>
        </w:rPr>
        <w:t>"</w:t>
      </w:r>
    </w:p>
    <w:p w:rsidR="0015535F" w:rsidRDefault="0015535F">
      <w:pPr>
        <w:spacing w:before="2"/>
        <w:rPr>
          <w:rFonts w:ascii="Arial" w:eastAsia="Arial" w:hAnsi="Arial" w:cs="Arial"/>
          <w:sz w:val="19"/>
          <w:szCs w:val="19"/>
        </w:rPr>
      </w:pPr>
    </w:p>
    <w:p w:rsidR="0015535F" w:rsidRDefault="005D298E">
      <w:pPr>
        <w:pStyle w:val="BodyText"/>
        <w:ind w:left="1721" w:right="110"/>
        <w:jc w:val="center"/>
      </w:pPr>
      <w:r>
        <w:rPr>
          <w:color w:val="2F2F2F"/>
        </w:rPr>
        <w:t>Sincerely,</w:t>
      </w:r>
    </w:p>
    <w:p w:rsidR="0015535F" w:rsidRDefault="0015535F">
      <w:pPr>
        <w:rPr>
          <w:rFonts w:ascii="Arial" w:eastAsia="Arial" w:hAnsi="Arial" w:cs="Arial"/>
          <w:sz w:val="20"/>
          <w:szCs w:val="20"/>
        </w:rPr>
      </w:pPr>
    </w:p>
    <w:p w:rsidR="0015535F" w:rsidRDefault="0015535F">
      <w:pPr>
        <w:spacing w:before="9"/>
        <w:rPr>
          <w:rFonts w:ascii="Arial" w:eastAsia="Arial" w:hAnsi="Arial" w:cs="Arial"/>
          <w:sz w:val="26"/>
          <w:szCs w:val="26"/>
        </w:rPr>
      </w:pPr>
    </w:p>
    <w:p w:rsidR="0015535F" w:rsidRDefault="00022749">
      <w:pPr>
        <w:pStyle w:val="BodyText"/>
        <w:spacing w:before="74" w:line="185" w:lineRule="exact"/>
        <w:ind w:left="828" w:right="6875"/>
        <w:rPr>
          <w:rFonts w:ascii="Times New Roman" w:eastAsia="Times New Roman" w:hAnsi="Times New Roman" w:cs="Times New Roman"/>
        </w:rPr>
      </w:pPr>
      <w:r>
        <w:rPr>
          <w:rFonts w:ascii="Times New Roman"/>
        </w:rPr>
        <w:t>01/30/2023</w:t>
      </w:r>
    </w:p>
    <w:p w:rsidR="0015535F" w:rsidRDefault="00F16194">
      <w:pPr>
        <w:pStyle w:val="BodyText"/>
        <w:spacing w:line="185" w:lineRule="exact"/>
        <w:ind w:left="125" w:right="6236"/>
      </w:pPr>
      <w:r>
        <w:rPr>
          <w:noProof/>
        </w:rPr>
        <mc:AlternateContent>
          <mc:Choice Requires="wpg">
            <w:drawing>
              <wp:anchor distT="0" distB="0" distL="114300" distR="114300" simplePos="0" relativeHeight="251658240" behindDoc="0" locked="0" layoutInCell="1" allowOverlap="1">
                <wp:simplePos x="0" y="0"/>
                <wp:positionH relativeFrom="page">
                  <wp:posOffset>3925570</wp:posOffset>
                </wp:positionH>
                <wp:positionV relativeFrom="paragraph">
                  <wp:posOffset>75565</wp:posOffset>
                </wp:positionV>
                <wp:extent cx="2712720" cy="1270"/>
                <wp:effectExtent l="10795" t="8255" r="1016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270"/>
                          <a:chOff x="6182" y="119"/>
                          <a:chExt cx="4272" cy="2"/>
                        </a:xfrm>
                      </wpg:grpSpPr>
                      <wps:wsp>
                        <wps:cNvPr id="2" name="Freeform 3"/>
                        <wps:cNvSpPr>
                          <a:spLocks/>
                        </wps:cNvSpPr>
                        <wps:spPr bwMode="auto">
                          <a:xfrm>
                            <a:off x="6182" y="119"/>
                            <a:ext cx="4272" cy="2"/>
                          </a:xfrm>
                          <a:custGeom>
                            <a:avLst/>
                            <a:gdLst>
                              <a:gd name="T0" fmla="+- 0 6182 6182"/>
                              <a:gd name="T1" fmla="*/ T0 w 4272"/>
                              <a:gd name="T2" fmla="+- 0 10454 6182"/>
                              <a:gd name="T3" fmla="*/ T2 w 4272"/>
                            </a:gdLst>
                            <a:ahLst/>
                            <a:cxnLst>
                              <a:cxn ang="0">
                                <a:pos x="T1" y="0"/>
                              </a:cxn>
                              <a:cxn ang="0">
                                <a:pos x="T3" y="0"/>
                              </a:cxn>
                            </a:cxnLst>
                            <a:rect l="0" t="0" r="r" b="b"/>
                            <a:pathLst>
                              <a:path w="4272">
                                <a:moveTo>
                                  <a:pt x="0" y="0"/>
                                </a:moveTo>
                                <a:lnTo>
                                  <a:pt x="4272"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D9154" id="Group 2" o:spid="_x0000_s1026" style="position:absolute;margin-left:309.1pt;margin-top:5.95pt;width:213.6pt;height:.1pt;z-index:251658240;mso-position-horizontal-relative:page" coordorigin="6182,119" coordsize="4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">
                <v:shape id="Freeform 3" o:spid="_x0000_s1027" style="position:absolute;left:6182;top:119;width:4272;height:2;visibility:visible;mso-wrap-style:square;v-text-anchor:top" coordsize="4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" path="m,l4272,e" filled="f" strokeweight=".25342mm">
                  <v:path arrowok="t" o:connecttype="custom" o:connectlocs="0,0;4272,0" o:connectangles="0,0"/>
                </v:shape>
                <w10:wrap anchorx="page"/>
              </v:group>
            </w:pict>
          </mc:Fallback>
        </mc:AlternateContent>
      </w:r>
      <w:r w:rsidR="005D298E">
        <w:rPr>
          <w:color w:val="161616"/>
          <w:w w:val="99"/>
        </w:rPr>
        <w:t>Dat</w:t>
      </w:r>
      <w:r w:rsidR="005D298E">
        <w:rPr>
          <w:color w:val="161616"/>
          <w:spacing w:val="-1"/>
          <w:w w:val="99"/>
        </w:rPr>
        <w:t>e</w:t>
      </w:r>
      <w:proofErr w:type="gramStart"/>
      <w:r w:rsidR="005D298E">
        <w:rPr>
          <w:color w:val="444444"/>
          <w:spacing w:val="17"/>
          <w:w w:val="141"/>
        </w:rPr>
        <w:t>:</w:t>
      </w:r>
      <w:r w:rsidR="005D298E">
        <w:rPr>
          <w:color w:val="646464"/>
          <w:spacing w:val="-52"/>
          <w:w w:val="428"/>
        </w:rPr>
        <w:t>-</w:t>
      </w:r>
      <w:r w:rsidR="005D298E">
        <w:rPr>
          <w:color w:val="646464"/>
          <w:spacing w:val="-55"/>
          <w:w w:val="455"/>
        </w:rPr>
        <w:t>-------</w:t>
      </w:r>
      <w:r w:rsidR="005D298E">
        <w:rPr>
          <w:color w:val="646464"/>
          <w:w w:val="499"/>
        </w:rPr>
        <w:t>-</w:t>
      </w:r>
      <w:proofErr w:type="gramEnd"/>
    </w:p>
    <w:p w:rsidR="0015535F" w:rsidRDefault="0015535F">
      <w:pPr>
        <w:rPr>
          <w:rFonts w:ascii="Arial" w:eastAsia="Arial" w:hAnsi="Arial" w:cs="Arial"/>
          <w:sz w:val="20"/>
          <w:szCs w:val="20"/>
        </w:rPr>
      </w:pPr>
    </w:p>
    <w:p w:rsidR="0015535F" w:rsidRDefault="0015535F">
      <w:pPr>
        <w:spacing w:before="8"/>
        <w:rPr>
          <w:rFonts w:ascii="Arial" w:eastAsia="Arial" w:hAnsi="Arial" w:cs="Arial"/>
          <w:sz w:val="27"/>
          <w:szCs w:val="27"/>
        </w:rPr>
      </w:pPr>
    </w:p>
    <w:p w:rsidR="0015535F" w:rsidRDefault="005D298E">
      <w:pPr>
        <w:pStyle w:val="BodyText"/>
        <w:spacing w:before="74"/>
        <w:ind w:left="103" w:right="110"/>
        <w:jc w:val="center"/>
      </w:pPr>
      <w:r>
        <w:rPr>
          <w:color w:val="161616"/>
        </w:rPr>
        <w:t>EXCEPTIONS:</w:t>
      </w:r>
    </w:p>
    <w:p w:rsidR="0015535F" w:rsidRDefault="0015535F">
      <w:pPr>
        <w:rPr>
          <w:rFonts w:ascii="Arial" w:eastAsia="Arial" w:hAnsi="Arial" w:cs="Arial"/>
          <w:sz w:val="20"/>
          <w:szCs w:val="20"/>
        </w:rPr>
      </w:pPr>
    </w:p>
    <w:p w:rsidR="0015535F" w:rsidRDefault="005D298E">
      <w:pPr>
        <w:pStyle w:val="BodyText"/>
        <w:ind w:left="115"/>
      </w:pPr>
      <w:r>
        <w:rPr>
          <w:color w:val="161616"/>
          <w:spacing w:val="2"/>
        </w:rPr>
        <w:t>(Note</w:t>
      </w:r>
      <w:r>
        <w:rPr>
          <w:color w:val="2F2F2F"/>
          <w:spacing w:val="2"/>
        </w:rPr>
        <w:t xml:space="preserve">:  </w:t>
      </w:r>
      <w:r>
        <w:rPr>
          <w:color w:val="161616"/>
        </w:rPr>
        <w:t>If there are none</w:t>
      </w:r>
      <w:r>
        <w:rPr>
          <w:color w:val="2F2F2F"/>
        </w:rPr>
        <w:t xml:space="preserve">, </w:t>
      </w:r>
      <w:r w:rsidR="00F16194">
        <w:rPr>
          <w:color w:val="161616"/>
        </w:rPr>
        <w:t>please write "None"; otherwise</w:t>
      </w:r>
      <w:r>
        <w:rPr>
          <w:color w:val="2F2F2F"/>
        </w:rPr>
        <w:t xml:space="preserve">, </w:t>
      </w:r>
      <w:r>
        <w:rPr>
          <w:color w:val="161616"/>
        </w:rPr>
        <w:t>fill in the table</w:t>
      </w:r>
      <w:r>
        <w:rPr>
          <w:color w:val="161616"/>
          <w:spacing w:val="-12"/>
        </w:rPr>
        <w:t xml:space="preserve"> </w:t>
      </w:r>
      <w:r>
        <w:rPr>
          <w:color w:val="161616"/>
        </w:rPr>
        <w:t>below)</w:t>
      </w:r>
      <w:r>
        <w:rPr>
          <w:color w:val="646464"/>
        </w:rPr>
        <w:t>.</w:t>
      </w:r>
    </w:p>
    <w:p w:rsidR="0015535F" w:rsidRDefault="0015535F">
      <w:pPr>
        <w:rPr>
          <w:rFonts w:ascii="Arial" w:eastAsia="Arial" w:hAnsi="Arial" w:cs="Arial"/>
          <w:sz w:val="20"/>
          <w:szCs w:val="20"/>
        </w:rPr>
      </w:pPr>
    </w:p>
    <w:p w:rsidR="0015535F" w:rsidRDefault="0015535F">
      <w:pPr>
        <w:rPr>
          <w:rFonts w:ascii="Arial" w:eastAsia="Arial" w:hAnsi="Arial" w:cs="Arial"/>
          <w:sz w:val="20"/>
          <w:szCs w:val="20"/>
        </w:rPr>
      </w:pPr>
    </w:p>
    <w:p w:rsidR="0015535F" w:rsidRDefault="0015535F">
      <w:pPr>
        <w:rPr>
          <w:rFonts w:ascii="Arial" w:eastAsia="Arial" w:hAnsi="Arial" w:cs="Arial"/>
          <w:sz w:val="20"/>
          <w:szCs w:val="20"/>
        </w:rPr>
      </w:pPr>
    </w:p>
    <w:p w:rsidR="0015535F" w:rsidRDefault="005D298E">
      <w:pPr>
        <w:pStyle w:val="BodyText"/>
        <w:ind w:left="75" w:right="110"/>
        <w:jc w:val="center"/>
      </w:pPr>
      <w:r>
        <w:rPr>
          <w:color w:val="161616"/>
        </w:rPr>
        <w:t>ASSOCIATES*</w:t>
      </w:r>
    </w:p>
    <w:p w:rsidR="0015535F" w:rsidRDefault="0015535F">
      <w:pPr>
        <w:rPr>
          <w:rFonts w:ascii="Arial" w:eastAsia="Arial" w:hAnsi="Arial" w:cs="Arial"/>
          <w:sz w:val="20"/>
          <w:szCs w:val="20"/>
        </w:rPr>
      </w:pPr>
    </w:p>
    <w:p w:rsidR="0015535F" w:rsidRDefault="005D298E">
      <w:pPr>
        <w:pStyle w:val="BodyText"/>
        <w:tabs>
          <w:tab w:val="left" w:pos="4357"/>
          <w:tab w:val="left" w:pos="7274"/>
        </w:tabs>
        <w:ind w:left="0" w:right="110"/>
        <w:jc w:val="center"/>
      </w:pPr>
      <w:r>
        <w:rPr>
          <w:color w:val="161616"/>
          <w:u w:val="single" w:color="000000"/>
        </w:rPr>
        <w:t>Trustee or</w:t>
      </w:r>
      <w:r>
        <w:rPr>
          <w:color w:val="161616"/>
          <w:spacing w:val="12"/>
          <w:u w:val="single" w:color="000000"/>
        </w:rPr>
        <w:t xml:space="preserve"> </w:t>
      </w:r>
      <w:r>
        <w:rPr>
          <w:color w:val="161616"/>
          <w:u w:val="single" w:color="000000"/>
        </w:rPr>
        <w:t>Family**</w:t>
      </w:r>
      <w:r>
        <w:rPr>
          <w:color w:val="161616"/>
          <w:spacing w:val="6"/>
          <w:u w:val="single" w:color="000000"/>
        </w:rPr>
        <w:t xml:space="preserve"> </w:t>
      </w:r>
      <w:r>
        <w:rPr>
          <w:color w:val="161616"/>
          <w:u w:val="single" w:color="000000"/>
        </w:rPr>
        <w:t>Member</w:t>
      </w:r>
      <w:r>
        <w:rPr>
          <w:color w:val="161616"/>
        </w:rPr>
        <w:tab/>
      </w:r>
      <w:r>
        <w:rPr>
          <w:color w:val="161616"/>
          <w:w w:val="95"/>
          <w:u w:val="single" w:color="000000"/>
        </w:rPr>
        <w:t>Associate</w:t>
      </w:r>
      <w:r>
        <w:rPr>
          <w:color w:val="161616"/>
          <w:w w:val="95"/>
        </w:rPr>
        <w:tab/>
      </w:r>
      <w:r>
        <w:rPr>
          <w:color w:val="161616"/>
          <w:u w:val="single" w:color="000000"/>
        </w:rPr>
        <w:t>Position and/or</w:t>
      </w:r>
      <w:r>
        <w:rPr>
          <w:color w:val="161616"/>
          <w:spacing w:val="2"/>
          <w:u w:val="single" w:color="000000"/>
        </w:rPr>
        <w:t xml:space="preserve"> </w:t>
      </w:r>
      <w:r>
        <w:rPr>
          <w:color w:val="161616"/>
          <w:u w:val="single" w:color="000000"/>
        </w:rPr>
        <w:t>Interest</w:t>
      </w:r>
    </w:p>
    <w:p w:rsidR="0015535F" w:rsidRDefault="005D298E">
      <w:pPr>
        <w:pStyle w:val="BodyText"/>
        <w:spacing w:before="44"/>
        <w:ind w:left="147" w:right="6875"/>
        <w:rPr>
          <w:rFonts w:ascii="Times New Roman" w:eastAsia="Times New Roman" w:hAnsi="Times New Roman" w:cs="Times New Roman"/>
        </w:rPr>
      </w:pPr>
      <w:r>
        <w:rPr>
          <w:rFonts w:ascii="Times New Roman"/>
        </w:rPr>
        <w:t>None</w:t>
      </w:r>
    </w:p>
    <w:p w:rsidR="0015535F" w:rsidRDefault="0015535F">
      <w:pPr>
        <w:rPr>
          <w:rFonts w:ascii="Times New Roman" w:eastAsia="Times New Roman" w:hAnsi="Times New Roman" w:cs="Times New Roman"/>
          <w:sz w:val="20"/>
          <w:szCs w:val="20"/>
        </w:rPr>
      </w:pPr>
    </w:p>
    <w:p w:rsidR="0015535F" w:rsidRDefault="0015535F">
      <w:pPr>
        <w:rPr>
          <w:rFonts w:ascii="Times New Roman" w:eastAsia="Times New Roman" w:hAnsi="Times New Roman" w:cs="Times New Roman"/>
          <w:sz w:val="20"/>
          <w:szCs w:val="20"/>
        </w:rPr>
      </w:pPr>
    </w:p>
    <w:p w:rsidR="0015535F" w:rsidRDefault="0015535F">
      <w:pPr>
        <w:rPr>
          <w:rFonts w:ascii="Times New Roman" w:eastAsia="Times New Roman" w:hAnsi="Times New Roman" w:cs="Times New Roman"/>
          <w:sz w:val="20"/>
          <w:szCs w:val="20"/>
        </w:rPr>
      </w:pPr>
    </w:p>
    <w:p w:rsidR="0015535F" w:rsidRDefault="0015535F">
      <w:pPr>
        <w:rPr>
          <w:rFonts w:ascii="Times New Roman" w:eastAsia="Times New Roman" w:hAnsi="Times New Roman" w:cs="Times New Roman"/>
          <w:sz w:val="20"/>
          <w:szCs w:val="20"/>
        </w:rPr>
      </w:pPr>
    </w:p>
    <w:p w:rsidR="0015535F" w:rsidRDefault="0015535F">
      <w:pPr>
        <w:rPr>
          <w:rFonts w:ascii="Times New Roman" w:eastAsia="Times New Roman" w:hAnsi="Times New Roman" w:cs="Times New Roman"/>
          <w:sz w:val="20"/>
          <w:szCs w:val="20"/>
        </w:rPr>
      </w:pPr>
    </w:p>
    <w:p w:rsidR="0015535F" w:rsidRDefault="0015535F">
      <w:pPr>
        <w:spacing w:before="10"/>
        <w:rPr>
          <w:rFonts w:ascii="Times New Roman" w:eastAsia="Times New Roman" w:hAnsi="Times New Roman" w:cs="Times New Roman"/>
          <w:sz w:val="28"/>
          <w:szCs w:val="28"/>
        </w:rPr>
      </w:pPr>
    </w:p>
    <w:p w:rsidR="0015535F" w:rsidRDefault="005D298E">
      <w:pPr>
        <w:pStyle w:val="BodyText"/>
        <w:spacing w:before="74" w:line="242" w:lineRule="auto"/>
        <w:ind w:left="110" w:right="118"/>
        <w:jc w:val="both"/>
      </w:pPr>
      <w:r>
        <w:rPr>
          <w:color w:val="161616"/>
        </w:rPr>
        <w:t>*An associate of an individual includes any person, trust, organization, or enterprise (of a business nature or otherwise) with respect to which the individual or any member of his or her family (1) is a director, officer, employee, member, partner, or trustee, or (2) has financial interest as described in the Board's policy on conflict of interest adopted on September 15, 1983</w:t>
      </w:r>
      <w:r>
        <w:rPr>
          <w:color w:val="2F2F2F"/>
        </w:rPr>
        <w:t xml:space="preserve">, </w:t>
      </w:r>
      <w:r>
        <w:rPr>
          <w:color w:val="161616"/>
        </w:rPr>
        <w:t>or any other interest which enables him or her to exercise control or significantly influence</w:t>
      </w:r>
      <w:r>
        <w:rPr>
          <w:color w:val="161616"/>
          <w:spacing w:val="23"/>
        </w:rPr>
        <w:t xml:space="preserve"> </w:t>
      </w:r>
      <w:r>
        <w:rPr>
          <w:color w:val="161616"/>
          <w:spacing w:val="2"/>
        </w:rPr>
        <w:t>policy</w:t>
      </w:r>
      <w:r>
        <w:rPr>
          <w:color w:val="2F2F2F"/>
          <w:spacing w:val="2"/>
        </w:rPr>
        <w:t>.</w:t>
      </w:r>
    </w:p>
    <w:p w:rsidR="0015535F" w:rsidRDefault="0015535F">
      <w:pPr>
        <w:spacing w:before="5"/>
        <w:rPr>
          <w:rFonts w:ascii="Arial" w:eastAsia="Arial" w:hAnsi="Arial" w:cs="Arial"/>
          <w:sz w:val="19"/>
          <w:szCs w:val="19"/>
        </w:rPr>
      </w:pPr>
    </w:p>
    <w:p w:rsidR="0015535F" w:rsidRDefault="005D298E">
      <w:pPr>
        <w:pStyle w:val="BodyText"/>
        <w:spacing w:line="249" w:lineRule="auto"/>
        <w:ind w:left="115" w:right="117" w:hanging="10"/>
        <w:jc w:val="both"/>
      </w:pPr>
      <w:r>
        <w:rPr>
          <w:color w:val="161616"/>
        </w:rPr>
        <w:t>**The family of an individual includes his or her spouse, parents, siblings, children and any other blood relatives</w:t>
      </w:r>
      <w:r>
        <w:rPr>
          <w:color w:val="2F2F2F"/>
        </w:rPr>
        <w:t>.</w:t>
      </w:r>
    </w:p>
    <w:p w:rsidR="0015535F" w:rsidRDefault="0015535F">
      <w:pPr>
        <w:rPr>
          <w:rFonts w:ascii="Arial" w:eastAsia="Arial" w:hAnsi="Arial" w:cs="Arial"/>
          <w:sz w:val="20"/>
          <w:szCs w:val="20"/>
        </w:rPr>
      </w:pPr>
    </w:p>
    <w:p w:rsidR="0015535F" w:rsidRDefault="0015535F">
      <w:pPr>
        <w:rPr>
          <w:rFonts w:ascii="Arial" w:eastAsia="Arial" w:hAnsi="Arial" w:cs="Arial"/>
          <w:sz w:val="20"/>
          <w:szCs w:val="20"/>
        </w:rPr>
      </w:pPr>
    </w:p>
    <w:p w:rsidR="0015535F" w:rsidRDefault="0015535F">
      <w:pPr>
        <w:spacing w:before="3"/>
        <w:rPr>
          <w:rFonts w:ascii="Arial" w:eastAsia="Arial" w:hAnsi="Arial" w:cs="Arial"/>
          <w:sz w:val="19"/>
          <w:szCs w:val="19"/>
        </w:rPr>
      </w:pPr>
    </w:p>
    <w:p w:rsidR="0015535F" w:rsidRDefault="005D298E">
      <w:pPr>
        <w:pStyle w:val="BodyText"/>
        <w:ind w:left="110" w:right="110"/>
        <w:jc w:val="center"/>
      </w:pPr>
      <w:r>
        <w:rPr>
          <w:color w:val="161616"/>
        </w:rPr>
        <w:t>(See</w:t>
      </w:r>
      <w:r>
        <w:rPr>
          <w:color w:val="161616"/>
          <w:spacing w:val="-21"/>
        </w:rPr>
        <w:t xml:space="preserve"> </w:t>
      </w:r>
      <w:r>
        <w:rPr>
          <w:color w:val="161616"/>
          <w:spacing w:val="2"/>
        </w:rPr>
        <w:t>backside</w:t>
      </w:r>
      <w:r>
        <w:rPr>
          <w:color w:val="2F2F2F"/>
          <w:spacing w:val="2"/>
        </w:rPr>
        <w:t>.</w:t>
      </w:r>
      <w:r>
        <w:rPr>
          <w:color w:val="161616"/>
          <w:spacing w:val="2"/>
        </w:rPr>
        <w:t>)</w:t>
      </w:r>
    </w:p>
    <w:p w:rsidR="0015535F" w:rsidRDefault="0015535F">
      <w:pPr>
        <w:jc w:val="center"/>
        <w:sectPr w:rsidR="0015535F">
          <w:type w:val="continuous"/>
          <w:pgSz w:w="12240" w:h="15840"/>
          <w:pgMar w:top="1240" w:right="1580" w:bottom="280" w:left="1000" w:header="720" w:footer="720" w:gutter="0"/>
          <w:cols w:space="720"/>
        </w:sectPr>
      </w:pPr>
    </w:p>
    <w:p w:rsidR="0015535F" w:rsidRDefault="005D298E">
      <w:pPr>
        <w:spacing w:before="64"/>
        <w:ind w:left="3714" w:right="3758"/>
        <w:jc w:val="center"/>
        <w:rPr>
          <w:rFonts w:ascii="Arial" w:eastAsia="Arial" w:hAnsi="Arial" w:cs="Arial"/>
          <w:sz w:val="19"/>
          <w:szCs w:val="19"/>
        </w:rPr>
      </w:pPr>
      <w:r>
        <w:rPr>
          <w:rFonts w:ascii="Arial"/>
          <w:b/>
          <w:color w:val="161616"/>
          <w:w w:val="105"/>
          <w:sz w:val="19"/>
        </w:rPr>
        <w:lastRenderedPageBreak/>
        <w:t>SOUTHERN ARKANSAS</w:t>
      </w:r>
      <w:r>
        <w:rPr>
          <w:rFonts w:ascii="Arial"/>
          <w:b/>
          <w:color w:val="161616"/>
          <w:spacing w:val="-11"/>
          <w:w w:val="105"/>
          <w:sz w:val="19"/>
        </w:rPr>
        <w:t xml:space="preserve"> </w:t>
      </w:r>
      <w:r>
        <w:rPr>
          <w:rFonts w:ascii="Arial"/>
          <w:b/>
          <w:color w:val="161616"/>
          <w:w w:val="105"/>
          <w:sz w:val="19"/>
        </w:rPr>
        <w:t>UNIVERSITY</w:t>
      </w:r>
    </w:p>
    <w:p w:rsidR="0015535F" w:rsidRDefault="005D298E">
      <w:pPr>
        <w:pStyle w:val="Heading1"/>
        <w:spacing w:before="1"/>
        <w:ind w:left="3709" w:right="3758" w:firstLine="0"/>
        <w:jc w:val="center"/>
        <w:rPr>
          <w:b w:val="0"/>
          <w:bCs w:val="0"/>
          <w:u w:val="none"/>
        </w:rPr>
      </w:pPr>
      <w:r>
        <w:rPr>
          <w:color w:val="161616"/>
          <w:w w:val="95"/>
          <w:u w:val="none"/>
        </w:rPr>
        <w:t>Magnolia,</w:t>
      </w:r>
      <w:r>
        <w:rPr>
          <w:color w:val="161616"/>
          <w:spacing w:val="50"/>
          <w:w w:val="95"/>
          <w:u w:val="none"/>
        </w:rPr>
        <w:t xml:space="preserve"> </w:t>
      </w:r>
      <w:r>
        <w:rPr>
          <w:color w:val="161616"/>
          <w:w w:val="95"/>
          <w:u w:val="none"/>
        </w:rPr>
        <w:t>Arkansas</w:t>
      </w:r>
    </w:p>
    <w:p w:rsidR="0015535F" w:rsidRDefault="0015535F">
      <w:pPr>
        <w:spacing w:before="1"/>
        <w:rPr>
          <w:rFonts w:ascii="Arial" w:eastAsia="Arial" w:hAnsi="Arial" w:cs="Arial"/>
          <w:b/>
          <w:bCs/>
          <w:sz w:val="21"/>
          <w:szCs w:val="21"/>
        </w:rPr>
      </w:pPr>
    </w:p>
    <w:p w:rsidR="0015535F" w:rsidRDefault="00F16194">
      <w:pPr>
        <w:ind w:left="3714" w:right="3754"/>
        <w:jc w:val="center"/>
        <w:rPr>
          <w:rFonts w:ascii="Arial" w:eastAsia="Arial" w:hAnsi="Arial" w:cs="Arial"/>
          <w:sz w:val="19"/>
          <w:szCs w:val="19"/>
        </w:rPr>
      </w:pPr>
      <w:r>
        <w:rPr>
          <w:rFonts w:ascii="Arial"/>
          <w:b/>
          <w:color w:val="161616"/>
          <w:sz w:val="19"/>
        </w:rPr>
        <w:t xml:space="preserve">CONFLICT-OF-INTEREST </w:t>
      </w:r>
      <w:r w:rsidR="005D298E">
        <w:rPr>
          <w:rFonts w:ascii="Arial"/>
          <w:b/>
          <w:color w:val="161616"/>
          <w:sz w:val="19"/>
        </w:rPr>
        <w:t>-</w:t>
      </w:r>
      <w:r w:rsidR="005D298E">
        <w:rPr>
          <w:rFonts w:ascii="Arial"/>
          <w:b/>
          <w:color w:val="161616"/>
          <w:spacing w:val="30"/>
          <w:sz w:val="19"/>
        </w:rPr>
        <w:t xml:space="preserve"> </w:t>
      </w:r>
      <w:r w:rsidR="005D298E">
        <w:rPr>
          <w:rFonts w:ascii="Arial"/>
          <w:b/>
          <w:color w:val="161616"/>
          <w:sz w:val="19"/>
        </w:rPr>
        <w:t>POLICY</w:t>
      </w:r>
    </w:p>
    <w:p w:rsidR="0015535F" w:rsidRDefault="0015535F">
      <w:pPr>
        <w:rPr>
          <w:rFonts w:ascii="Arial" w:eastAsia="Arial" w:hAnsi="Arial" w:cs="Arial"/>
          <w:b/>
          <w:bCs/>
          <w:sz w:val="18"/>
          <w:szCs w:val="18"/>
        </w:rPr>
      </w:pPr>
    </w:p>
    <w:p w:rsidR="0015535F" w:rsidRDefault="0015535F">
      <w:pPr>
        <w:spacing w:before="5"/>
        <w:rPr>
          <w:rFonts w:ascii="Arial" w:eastAsia="Arial" w:hAnsi="Arial" w:cs="Arial"/>
          <w:b/>
          <w:bCs/>
        </w:rPr>
      </w:pPr>
    </w:p>
    <w:p w:rsidR="0015535F" w:rsidRDefault="005D298E">
      <w:pPr>
        <w:pStyle w:val="Heading1"/>
        <w:numPr>
          <w:ilvl w:val="0"/>
          <w:numId w:val="1"/>
        </w:numPr>
        <w:tabs>
          <w:tab w:val="left" w:pos="490"/>
        </w:tabs>
        <w:spacing w:line="230" w:lineRule="exact"/>
        <w:rPr>
          <w:b w:val="0"/>
          <w:bCs w:val="0"/>
          <w:u w:val="none"/>
        </w:rPr>
      </w:pPr>
      <w:r>
        <w:rPr>
          <w:color w:val="161616"/>
          <w:u w:val="thick" w:color="000000"/>
        </w:rPr>
        <w:t>Scope</w:t>
      </w:r>
    </w:p>
    <w:p w:rsidR="0015535F" w:rsidRDefault="005D298E">
      <w:pPr>
        <w:pStyle w:val="BodyText"/>
        <w:ind w:left="484" w:right="127" w:hanging="5"/>
        <w:jc w:val="both"/>
      </w:pPr>
      <w:r>
        <w:rPr>
          <w:color w:val="161616"/>
        </w:rPr>
        <w:t>The following statement of policy applies to each member of the Board of Trustees and to all officers of Southern Arkansas University. Further, it is intended to serve for the guidance of all persons employed by the institution, regardless of</w:t>
      </w:r>
      <w:r>
        <w:rPr>
          <w:color w:val="161616"/>
          <w:spacing w:val="-20"/>
        </w:rPr>
        <w:t xml:space="preserve"> </w:t>
      </w:r>
      <w:r>
        <w:rPr>
          <w:color w:val="161616"/>
        </w:rPr>
        <w:t>position.</w:t>
      </w:r>
    </w:p>
    <w:p w:rsidR="0015535F" w:rsidRDefault="0015535F">
      <w:pPr>
        <w:spacing w:before="10"/>
        <w:rPr>
          <w:rFonts w:ascii="Arial" w:eastAsia="Arial" w:hAnsi="Arial" w:cs="Arial"/>
          <w:sz w:val="19"/>
          <w:szCs w:val="19"/>
        </w:rPr>
      </w:pPr>
    </w:p>
    <w:p w:rsidR="0015535F" w:rsidRDefault="005D298E">
      <w:pPr>
        <w:pStyle w:val="Heading1"/>
        <w:numPr>
          <w:ilvl w:val="0"/>
          <w:numId w:val="1"/>
        </w:numPr>
        <w:tabs>
          <w:tab w:val="left" w:pos="490"/>
        </w:tabs>
        <w:spacing w:line="230" w:lineRule="exact"/>
        <w:ind w:hanging="363"/>
        <w:rPr>
          <w:b w:val="0"/>
          <w:bCs w:val="0"/>
          <w:u w:val="none"/>
        </w:rPr>
      </w:pPr>
      <w:proofErr w:type="gramStart"/>
      <w:r>
        <w:rPr>
          <w:color w:val="161616"/>
          <w:w w:val="95"/>
          <w:u w:val="thick" w:color="000000"/>
        </w:rPr>
        <w:t xml:space="preserve">Fiduciary </w:t>
      </w:r>
      <w:r>
        <w:rPr>
          <w:color w:val="161616"/>
          <w:spacing w:val="26"/>
          <w:w w:val="95"/>
          <w:u w:val="thick" w:color="000000"/>
        </w:rPr>
        <w:t xml:space="preserve"> </w:t>
      </w:r>
      <w:r>
        <w:rPr>
          <w:color w:val="161616"/>
          <w:w w:val="95"/>
          <w:u w:val="thick" w:color="000000"/>
        </w:rPr>
        <w:t>Responsibility</w:t>
      </w:r>
      <w:proofErr w:type="gramEnd"/>
    </w:p>
    <w:p w:rsidR="0015535F" w:rsidRDefault="005D298E">
      <w:pPr>
        <w:pStyle w:val="BodyText"/>
        <w:ind w:left="479" w:right="122" w:firstLine="4"/>
        <w:jc w:val="both"/>
      </w:pPr>
      <w:r>
        <w:rPr>
          <w:color w:val="161616"/>
        </w:rPr>
        <w:t>Members of the Board, officers, and staff serve a public interest role and thus have a clear obligation to conduct all affairs of the institution in a manner consistent with this concept. All decisions of the Board and officers of administration of SAU are to be made solely on the basis of a desire to promote the bes</w:t>
      </w:r>
      <w:r w:rsidR="00F16194">
        <w:rPr>
          <w:color w:val="161616"/>
        </w:rPr>
        <w:t xml:space="preserve">t interests of the institution </w:t>
      </w:r>
      <w:r>
        <w:rPr>
          <w:color w:val="161616"/>
        </w:rPr>
        <w:t>and the public</w:t>
      </w:r>
      <w:r>
        <w:rPr>
          <w:color w:val="161616"/>
          <w:spacing w:val="-26"/>
        </w:rPr>
        <w:t xml:space="preserve"> </w:t>
      </w:r>
      <w:r>
        <w:rPr>
          <w:color w:val="161616"/>
        </w:rPr>
        <w:t>good.</w:t>
      </w:r>
    </w:p>
    <w:p w:rsidR="0015535F" w:rsidRDefault="0015535F">
      <w:pPr>
        <w:spacing w:before="10"/>
        <w:rPr>
          <w:rFonts w:ascii="Arial" w:eastAsia="Arial" w:hAnsi="Arial" w:cs="Arial"/>
          <w:sz w:val="19"/>
          <w:szCs w:val="19"/>
        </w:rPr>
      </w:pPr>
    </w:p>
    <w:p w:rsidR="0015535F" w:rsidRDefault="005D298E">
      <w:pPr>
        <w:pStyle w:val="Heading1"/>
        <w:numPr>
          <w:ilvl w:val="0"/>
          <w:numId w:val="1"/>
        </w:numPr>
        <w:tabs>
          <w:tab w:val="left" w:pos="485"/>
        </w:tabs>
        <w:spacing w:line="227" w:lineRule="exact"/>
        <w:ind w:left="484" w:hanging="362"/>
        <w:rPr>
          <w:b w:val="0"/>
          <w:bCs w:val="0"/>
          <w:u w:val="none"/>
        </w:rPr>
      </w:pPr>
      <w:r>
        <w:rPr>
          <w:color w:val="161616"/>
          <w:u w:val="thick" w:color="000000"/>
        </w:rPr>
        <w:t>Disclosure</w:t>
      </w:r>
    </w:p>
    <w:p w:rsidR="0015535F" w:rsidRDefault="005D298E">
      <w:pPr>
        <w:pStyle w:val="BodyText"/>
        <w:spacing w:line="237" w:lineRule="auto"/>
        <w:ind w:right="121" w:firstLine="4"/>
        <w:jc w:val="both"/>
      </w:pPr>
      <w:r>
        <w:rPr>
          <w:color w:val="161616"/>
        </w:rPr>
        <w:t>The policy of the Board of Southern Arkansas University requires that in the event the Board or officers must consider any transaction for the institution which also involves (1) a member of the Board or any officer of the institution or a member of his or her family (wh</w:t>
      </w:r>
      <w:r>
        <w:rPr>
          <w:color w:val="3A3A3A"/>
        </w:rPr>
        <w:t>i</w:t>
      </w:r>
      <w:r>
        <w:rPr>
          <w:color w:val="161616"/>
        </w:rPr>
        <w:t xml:space="preserve">ch shall be a spouse </w:t>
      </w:r>
      <w:r>
        <w:rPr>
          <w:color w:val="3A3A3A"/>
        </w:rPr>
        <w:t xml:space="preserve">, </w:t>
      </w:r>
      <w:r>
        <w:rPr>
          <w:color w:val="161616"/>
        </w:rPr>
        <w:t xml:space="preserve">parents, siblings, children </w:t>
      </w:r>
      <w:r>
        <w:rPr>
          <w:color w:val="3A3A3A"/>
        </w:rPr>
        <w:t xml:space="preserve">, </w:t>
      </w:r>
      <w:r>
        <w:rPr>
          <w:color w:val="161616"/>
        </w:rPr>
        <w:t>and any other relative), or (2) an organization with which a member of the Board or any officer of the institution is affiliated, such trustee or officer, at  the first knowledge of the transaction, shall disclose fully the precise nature of the interest or</w:t>
      </w:r>
      <w:r>
        <w:rPr>
          <w:color w:val="161616"/>
          <w:spacing w:val="-18"/>
        </w:rPr>
        <w:t xml:space="preserve"> </w:t>
      </w:r>
      <w:r>
        <w:rPr>
          <w:color w:val="161616"/>
        </w:rPr>
        <w:t>involvement.</w:t>
      </w:r>
    </w:p>
    <w:p w:rsidR="0015535F" w:rsidRDefault="0015535F">
      <w:pPr>
        <w:spacing w:before="6"/>
        <w:rPr>
          <w:rFonts w:ascii="Arial" w:eastAsia="Arial" w:hAnsi="Arial" w:cs="Arial"/>
          <w:sz w:val="19"/>
          <w:szCs w:val="19"/>
        </w:rPr>
      </w:pPr>
    </w:p>
    <w:p w:rsidR="0015535F" w:rsidRDefault="005D298E">
      <w:pPr>
        <w:pStyle w:val="BodyText"/>
        <w:ind w:left="479" w:right="121" w:firstLine="4"/>
        <w:jc w:val="both"/>
      </w:pPr>
      <w:r>
        <w:rPr>
          <w:color w:val="161616"/>
        </w:rPr>
        <w:t xml:space="preserve">Disclosure is further required of Board members and officers of the institution concerning all </w:t>
      </w:r>
      <w:r w:rsidR="00F16194">
        <w:rPr>
          <w:color w:val="161616"/>
          <w:u w:val="single" w:color="000000"/>
        </w:rPr>
        <w:t xml:space="preserve">relationships </w:t>
      </w:r>
      <w:r>
        <w:rPr>
          <w:color w:val="161616"/>
          <w:u w:val="single" w:color="000000"/>
        </w:rPr>
        <w:t xml:space="preserve">and business affiliations </w:t>
      </w:r>
      <w:r>
        <w:rPr>
          <w:color w:val="161616"/>
        </w:rPr>
        <w:t xml:space="preserve">that reasonably could give rise to a conflict of interest </w:t>
      </w:r>
      <w:r>
        <w:rPr>
          <w:color w:val="2A2A2A"/>
        </w:rPr>
        <w:t xml:space="preserve">involving </w:t>
      </w:r>
      <w:r>
        <w:rPr>
          <w:color w:val="161616"/>
        </w:rPr>
        <w:t>th</w:t>
      </w:r>
      <w:r w:rsidR="00F16194">
        <w:rPr>
          <w:color w:val="161616"/>
        </w:rPr>
        <w:t xml:space="preserve">e institution. This disclosure </w:t>
      </w:r>
      <w:r>
        <w:rPr>
          <w:color w:val="161616"/>
        </w:rPr>
        <w:t>shall be continuously reported and kept current, as set forth below. For the purpose of this policy, affiliation is understood</w:t>
      </w:r>
      <w:r>
        <w:rPr>
          <w:color w:val="161616"/>
          <w:spacing w:val="-1"/>
        </w:rPr>
        <w:t xml:space="preserve"> </w:t>
      </w:r>
      <w:r>
        <w:rPr>
          <w:color w:val="161616"/>
        </w:rPr>
        <w:t>to prevail</w:t>
      </w:r>
      <w:r>
        <w:rPr>
          <w:color w:val="161616"/>
          <w:spacing w:val="-3"/>
        </w:rPr>
        <w:t xml:space="preserve"> </w:t>
      </w:r>
      <w:r>
        <w:rPr>
          <w:color w:val="161616"/>
        </w:rPr>
        <w:t>if</w:t>
      </w:r>
      <w:r>
        <w:rPr>
          <w:color w:val="161616"/>
          <w:spacing w:val="-17"/>
        </w:rPr>
        <w:t xml:space="preserve"> </w:t>
      </w:r>
      <w:r>
        <w:rPr>
          <w:color w:val="161616"/>
        </w:rPr>
        <w:t>the</w:t>
      </w:r>
      <w:r>
        <w:rPr>
          <w:color w:val="161616"/>
          <w:spacing w:val="-2"/>
        </w:rPr>
        <w:t xml:space="preserve"> </w:t>
      </w:r>
      <w:r>
        <w:rPr>
          <w:color w:val="161616"/>
        </w:rPr>
        <w:t>trustee</w:t>
      </w:r>
      <w:r>
        <w:rPr>
          <w:color w:val="161616"/>
          <w:spacing w:val="-1"/>
        </w:rPr>
        <w:t xml:space="preserve"> </w:t>
      </w:r>
      <w:r>
        <w:rPr>
          <w:color w:val="161616"/>
        </w:rPr>
        <w:t>or</w:t>
      </w:r>
      <w:r>
        <w:rPr>
          <w:color w:val="161616"/>
          <w:spacing w:val="-7"/>
        </w:rPr>
        <w:t xml:space="preserve"> </w:t>
      </w:r>
      <w:r>
        <w:rPr>
          <w:color w:val="161616"/>
        </w:rPr>
        <w:t>officers,</w:t>
      </w:r>
      <w:r>
        <w:rPr>
          <w:color w:val="161616"/>
          <w:spacing w:val="8"/>
        </w:rPr>
        <w:t xml:space="preserve"> </w:t>
      </w:r>
      <w:r>
        <w:rPr>
          <w:color w:val="161616"/>
        </w:rPr>
        <w:t>or</w:t>
      </w:r>
      <w:r>
        <w:rPr>
          <w:color w:val="161616"/>
          <w:spacing w:val="-2"/>
        </w:rPr>
        <w:t xml:space="preserve"> </w:t>
      </w:r>
      <w:r>
        <w:rPr>
          <w:color w:val="161616"/>
        </w:rPr>
        <w:t>a</w:t>
      </w:r>
      <w:r>
        <w:rPr>
          <w:color w:val="161616"/>
          <w:spacing w:val="-1"/>
        </w:rPr>
        <w:t xml:space="preserve"> </w:t>
      </w:r>
      <w:r>
        <w:rPr>
          <w:color w:val="161616"/>
        </w:rPr>
        <w:t>member</w:t>
      </w:r>
      <w:r>
        <w:rPr>
          <w:color w:val="161616"/>
          <w:spacing w:val="-3"/>
        </w:rPr>
        <w:t xml:space="preserve"> </w:t>
      </w:r>
      <w:r>
        <w:rPr>
          <w:color w:val="161616"/>
        </w:rPr>
        <w:t>of</w:t>
      </w:r>
      <w:r>
        <w:rPr>
          <w:color w:val="161616"/>
          <w:spacing w:val="-15"/>
        </w:rPr>
        <w:t xml:space="preserve"> </w:t>
      </w:r>
      <w:r>
        <w:rPr>
          <w:color w:val="161616"/>
        </w:rPr>
        <w:t>the</w:t>
      </w:r>
      <w:r>
        <w:rPr>
          <w:color w:val="161616"/>
          <w:spacing w:val="-11"/>
        </w:rPr>
        <w:t xml:space="preserve"> </w:t>
      </w:r>
      <w:r>
        <w:rPr>
          <w:color w:val="161616"/>
        </w:rPr>
        <w:t>family:</w:t>
      </w:r>
    </w:p>
    <w:p w:rsidR="0015535F" w:rsidRDefault="0015535F">
      <w:pPr>
        <w:spacing w:before="10"/>
        <w:rPr>
          <w:rFonts w:ascii="Arial" w:eastAsia="Arial" w:hAnsi="Arial" w:cs="Arial"/>
          <w:sz w:val="19"/>
          <w:szCs w:val="19"/>
        </w:rPr>
      </w:pPr>
    </w:p>
    <w:p w:rsidR="0015535F" w:rsidRDefault="005D298E">
      <w:pPr>
        <w:pStyle w:val="ListParagraph"/>
        <w:numPr>
          <w:ilvl w:val="1"/>
          <w:numId w:val="1"/>
        </w:numPr>
        <w:tabs>
          <w:tab w:val="left" w:pos="847"/>
        </w:tabs>
        <w:spacing w:line="230" w:lineRule="exact"/>
        <w:ind w:hanging="353"/>
        <w:jc w:val="both"/>
        <w:rPr>
          <w:rFonts w:ascii="Arial" w:eastAsia="Arial" w:hAnsi="Arial" w:cs="Arial"/>
          <w:sz w:val="20"/>
          <w:szCs w:val="20"/>
        </w:rPr>
      </w:pPr>
      <w:r>
        <w:rPr>
          <w:rFonts w:ascii="Arial"/>
          <w:color w:val="161616"/>
          <w:sz w:val="20"/>
        </w:rPr>
        <w:t>Is an officer, director, trustee, partner, employee, or agent of such organization;</w:t>
      </w:r>
      <w:r>
        <w:rPr>
          <w:rFonts w:ascii="Arial"/>
          <w:color w:val="161616"/>
          <w:spacing w:val="-24"/>
          <w:sz w:val="20"/>
        </w:rPr>
        <w:t xml:space="preserve"> </w:t>
      </w:r>
      <w:r>
        <w:rPr>
          <w:rFonts w:ascii="Arial"/>
          <w:color w:val="161616"/>
          <w:sz w:val="20"/>
        </w:rPr>
        <w:t>or</w:t>
      </w:r>
    </w:p>
    <w:p w:rsidR="0015535F" w:rsidRDefault="005D298E">
      <w:pPr>
        <w:pStyle w:val="ListParagraph"/>
        <w:numPr>
          <w:ilvl w:val="1"/>
          <w:numId w:val="1"/>
        </w:numPr>
        <w:tabs>
          <w:tab w:val="left" w:pos="847"/>
        </w:tabs>
        <w:ind w:right="139" w:hanging="353"/>
        <w:jc w:val="both"/>
        <w:rPr>
          <w:rFonts w:ascii="Arial" w:eastAsia="Arial" w:hAnsi="Arial" w:cs="Arial"/>
          <w:sz w:val="20"/>
          <w:szCs w:val="20"/>
        </w:rPr>
      </w:pPr>
      <w:r>
        <w:rPr>
          <w:rFonts w:ascii="Arial"/>
          <w:color w:val="161616"/>
          <w:sz w:val="20"/>
        </w:rPr>
        <w:t>Is either the actual or beneficial owner of more than one percent of the voting stock or controlling interest of such an organization;</w:t>
      </w:r>
      <w:r>
        <w:rPr>
          <w:rFonts w:ascii="Arial"/>
          <w:color w:val="161616"/>
          <w:spacing w:val="-14"/>
          <w:sz w:val="20"/>
        </w:rPr>
        <w:t xml:space="preserve"> </w:t>
      </w:r>
      <w:r>
        <w:rPr>
          <w:rFonts w:ascii="Arial"/>
          <w:color w:val="161616"/>
          <w:sz w:val="20"/>
        </w:rPr>
        <w:t>or</w:t>
      </w:r>
    </w:p>
    <w:p w:rsidR="0015535F" w:rsidRDefault="005D298E">
      <w:pPr>
        <w:pStyle w:val="ListParagraph"/>
        <w:numPr>
          <w:ilvl w:val="1"/>
          <w:numId w:val="1"/>
        </w:numPr>
        <w:tabs>
          <w:tab w:val="left" w:pos="837"/>
        </w:tabs>
        <w:ind w:left="836" w:right="104" w:hanging="357"/>
        <w:jc w:val="both"/>
        <w:rPr>
          <w:rFonts w:ascii="Arial" w:eastAsia="Arial" w:hAnsi="Arial" w:cs="Arial"/>
          <w:sz w:val="20"/>
          <w:szCs w:val="20"/>
        </w:rPr>
      </w:pPr>
      <w:r>
        <w:rPr>
          <w:rFonts w:ascii="Arial"/>
          <w:color w:val="161616"/>
          <w:w w:val="105"/>
          <w:sz w:val="20"/>
        </w:rPr>
        <w:t xml:space="preserve">Has any other direct or </w:t>
      </w:r>
      <w:r>
        <w:rPr>
          <w:rFonts w:ascii="Arial"/>
          <w:color w:val="2A2A2A"/>
          <w:w w:val="105"/>
          <w:sz w:val="20"/>
        </w:rPr>
        <w:t xml:space="preserve">indirect </w:t>
      </w:r>
      <w:r>
        <w:rPr>
          <w:rFonts w:ascii="Arial"/>
          <w:color w:val="161616"/>
          <w:w w:val="105"/>
          <w:sz w:val="20"/>
        </w:rPr>
        <w:t xml:space="preserve">dealings with such organization from which he or she knowingly is materially benefited through receipt directly or indirectly of cash, stock, or other property in excess of $1,500 a year </w:t>
      </w:r>
      <w:r>
        <w:rPr>
          <w:rFonts w:ascii="Arial"/>
          <w:color w:val="161616"/>
          <w:w w:val="190"/>
          <w:sz w:val="20"/>
        </w:rPr>
        <w:t xml:space="preserve">- </w:t>
      </w:r>
      <w:r>
        <w:rPr>
          <w:rFonts w:ascii="Arial"/>
          <w:color w:val="161616"/>
          <w:sz w:val="20"/>
        </w:rPr>
        <w:t>including dividends or</w:t>
      </w:r>
      <w:r>
        <w:rPr>
          <w:rFonts w:ascii="Arial"/>
          <w:color w:val="161616"/>
          <w:spacing w:val="-26"/>
          <w:sz w:val="20"/>
        </w:rPr>
        <w:t xml:space="preserve"> </w:t>
      </w:r>
      <w:r>
        <w:rPr>
          <w:rFonts w:ascii="Arial"/>
          <w:color w:val="161616"/>
          <w:sz w:val="20"/>
        </w:rPr>
        <w:t>interest.</w:t>
      </w:r>
    </w:p>
    <w:p w:rsidR="0015535F" w:rsidRDefault="0015535F">
      <w:pPr>
        <w:spacing w:before="7"/>
        <w:rPr>
          <w:rFonts w:ascii="Arial" w:eastAsia="Arial" w:hAnsi="Arial" w:cs="Arial"/>
          <w:sz w:val="19"/>
          <w:szCs w:val="19"/>
        </w:rPr>
      </w:pPr>
    </w:p>
    <w:p w:rsidR="0015535F" w:rsidRDefault="005D298E">
      <w:pPr>
        <w:pStyle w:val="BodyText"/>
        <w:spacing w:line="237" w:lineRule="auto"/>
        <w:ind w:left="470" w:right="126"/>
        <w:jc w:val="both"/>
      </w:pPr>
      <w:r>
        <w:rPr>
          <w:color w:val="161616"/>
        </w:rPr>
        <w:t>All disclosures required under this policy must be submitted in writing to the Secretary of the Board by completing the disclosure letter annually during the month of January. The Secretary, together with the University counsel, shall be responsible for the administration of this policy</w:t>
      </w:r>
      <w:r>
        <w:rPr>
          <w:color w:val="3A3A3A"/>
        </w:rPr>
        <w:t xml:space="preserve">. </w:t>
      </w:r>
      <w:r>
        <w:rPr>
          <w:color w:val="161616"/>
        </w:rPr>
        <w:t>Matters under this policy concerning trustees shall be reported initially to the Chairman of the Board for appropriate action; those concerning staff will be referred initially to the President. Information disclosed to the secretary, chairman, or president shall be held in confidence except when the best interest</w:t>
      </w:r>
      <w:r>
        <w:rPr>
          <w:color w:val="161616"/>
          <w:spacing w:val="-7"/>
        </w:rPr>
        <w:t xml:space="preserve"> </w:t>
      </w:r>
      <w:r>
        <w:rPr>
          <w:color w:val="161616"/>
        </w:rPr>
        <w:t>of</w:t>
      </w:r>
      <w:r>
        <w:rPr>
          <w:color w:val="161616"/>
          <w:spacing w:val="-13"/>
        </w:rPr>
        <w:t xml:space="preserve"> </w:t>
      </w:r>
      <w:r>
        <w:rPr>
          <w:color w:val="161616"/>
        </w:rPr>
        <w:t>the</w:t>
      </w:r>
      <w:r>
        <w:rPr>
          <w:color w:val="161616"/>
          <w:spacing w:val="4"/>
        </w:rPr>
        <w:t xml:space="preserve"> </w:t>
      </w:r>
      <w:r>
        <w:rPr>
          <w:color w:val="161616"/>
        </w:rPr>
        <w:t>institution</w:t>
      </w:r>
      <w:r>
        <w:rPr>
          <w:color w:val="161616"/>
          <w:spacing w:val="-2"/>
        </w:rPr>
        <w:t xml:space="preserve"> </w:t>
      </w:r>
      <w:r>
        <w:rPr>
          <w:color w:val="161616"/>
        </w:rPr>
        <w:t>would</w:t>
      </w:r>
      <w:r>
        <w:rPr>
          <w:color w:val="161616"/>
          <w:spacing w:val="11"/>
        </w:rPr>
        <w:t xml:space="preserve"> </w:t>
      </w:r>
      <w:r>
        <w:rPr>
          <w:color w:val="161616"/>
        </w:rPr>
        <w:t>be</w:t>
      </w:r>
      <w:r>
        <w:rPr>
          <w:color w:val="161616"/>
          <w:spacing w:val="-10"/>
        </w:rPr>
        <w:t xml:space="preserve"> </w:t>
      </w:r>
      <w:r>
        <w:rPr>
          <w:color w:val="161616"/>
        </w:rPr>
        <w:t>served</w:t>
      </w:r>
      <w:r>
        <w:rPr>
          <w:color w:val="161616"/>
          <w:spacing w:val="2"/>
        </w:rPr>
        <w:t xml:space="preserve"> </w:t>
      </w:r>
      <w:r>
        <w:rPr>
          <w:color w:val="161616"/>
        </w:rPr>
        <w:t>by</w:t>
      </w:r>
      <w:r>
        <w:rPr>
          <w:color w:val="161616"/>
          <w:spacing w:val="-8"/>
        </w:rPr>
        <w:t xml:space="preserve"> </w:t>
      </w:r>
      <w:r>
        <w:rPr>
          <w:color w:val="161616"/>
        </w:rPr>
        <w:t>disclosing</w:t>
      </w:r>
      <w:r>
        <w:rPr>
          <w:color w:val="161616"/>
          <w:spacing w:val="2"/>
        </w:rPr>
        <w:t xml:space="preserve"> </w:t>
      </w:r>
      <w:r>
        <w:rPr>
          <w:color w:val="161616"/>
        </w:rPr>
        <w:t>the</w:t>
      </w:r>
      <w:r>
        <w:rPr>
          <w:color w:val="161616"/>
          <w:spacing w:val="4"/>
        </w:rPr>
        <w:t xml:space="preserve"> </w:t>
      </w:r>
      <w:r>
        <w:rPr>
          <w:color w:val="161616"/>
        </w:rPr>
        <w:t>information</w:t>
      </w:r>
      <w:r>
        <w:rPr>
          <w:color w:val="161616"/>
          <w:spacing w:val="-5"/>
        </w:rPr>
        <w:t xml:space="preserve"> </w:t>
      </w:r>
      <w:r>
        <w:rPr>
          <w:color w:val="161616"/>
        </w:rPr>
        <w:t>to</w:t>
      </w:r>
      <w:r>
        <w:rPr>
          <w:color w:val="161616"/>
          <w:spacing w:val="-2"/>
        </w:rPr>
        <w:t xml:space="preserve"> </w:t>
      </w:r>
      <w:r>
        <w:rPr>
          <w:color w:val="161616"/>
        </w:rPr>
        <w:t>the</w:t>
      </w:r>
      <w:r>
        <w:rPr>
          <w:color w:val="161616"/>
          <w:spacing w:val="8"/>
        </w:rPr>
        <w:t xml:space="preserve"> </w:t>
      </w:r>
      <w:r>
        <w:rPr>
          <w:color w:val="161616"/>
        </w:rPr>
        <w:t>Board</w:t>
      </w:r>
      <w:r>
        <w:rPr>
          <w:color w:val="161616"/>
          <w:spacing w:val="-4"/>
        </w:rPr>
        <w:t xml:space="preserve"> </w:t>
      </w:r>
      <w:r>
        <w:rPr>
          <w:color w:val="161616"/>
        </w:rPr>
        <w:t>in</w:t>
      </w:r>
      <w:r>
        <w:rPr>
          <w:color w:val="161616"/>
          <w:spacing w:val="-13"/>
        </w:rPr>
        <w:t xml:space="preserve"> </w:t>
      </w:r>
      <w:r>
        <w:rPr>
          <w:color w:val="161616"/>
        </w:rPr>
        <w:t>executive</w:t>
      </w:r>
      <w:r>
        <w:rPr>
          <w:color w:val="161616"/>
          <w:spacing w:val="7"/>
        </w:rPr>
        <w:t xml:space="preserve"> </w:t>
      </w:r>
      <w:r w:rsidR="00F16194">
        <w:rPr>
          <w:color w:val="161616"/>
        </w:rPr>
        <w:t>session</w:t>
      </w:r>
      <w:r w:rsidR="00F16194">
        <w:rPr>
          <w:color w:val="161616"/>
          <w:spacing w:val="-34"/>
        </w:rPr>
        <w:t>.</w:t>
      </w:r>
    </w:p>
    <w:p w:rsidR="0015535F" w:rsidRDefault="0015535F">
      <w:pPr>
        <w:spacing w:before="4"/>
        <w:rPr>
          <w:rFonts w:ascii="Arial" w:eastAsia="Arial" w:hAnsi="Arial" w:cs="Arial"/>
          <w:sz w:val="20"/>
          <w:szCs w:val="20"/>
        </w:rPr>
      </w:pPr>
    </w:p>
    <w:p w:rsidR="0015535F" w:rsidRDefault="005D298E">
      <w:pPr>
        <w:pStyle w:val="Heading1"/>
        <w:numPr>
          <w:ilvl w:val="0"/>
          <w:numId w:val="1"/>
        </w:numPr>
        <w:tabs>
          <w:tab w:val="left" w:pos="480"/>
        </w:tabs>
        <w:spacing w:line="227" w:lineRule="exact"/>
        <w:ind w:left="479" w:hanging="372"/>
        <w:rPr>
          <w:b w:val="0"/>
          <w:bCs w:val="0"/>
          <w:u w:val="none"/>
        </w:rPr>
      </w:pPr>
      <w:r>
        <w:rPr>
          <w:color w:val="161616"/>
          <w:u w:val="thick" w:color="000000"/>
        </w:rPr>
        <w:t>Restraint on</w:t>
      </w:r>
      <w:r>
        <w:rPr>
          <w:color w:val="161616"/>
          <w:spacing w:val="-39"/>
          <w:u w:val="thick" w:color="000000"/>
        </w:rPr>
        <w:t xml:space="preserve"> </w:t>
      </w:r>
      <w:r>
        <w:rPr>
          <w:color w:val="161616"/>
          <w:u w:val="thick" w:color="000000"/>
        </w:rPr>
        <w:t>Participation</w:t>
      </w:r>
    </w:p>
    <w:p w:rsidR="0015535F" w:rsidRDefault="005D298E">
      <w:pPr>
        <w:pStyle w:val="BodyText"/>
        <w:spacing w:line="237" w:lineRule="auto"/>
        <w:ind w:left="470" w:right="128"/>
        <w:jc w:val="both"/>
      </w:pPr>
      <w:r>
        <w:rPr>
          <w:color w:val="161616"/>
        </w:rPr>
        <w:t xml:space="preserve">Trustees or officers who have declared or been found to have conflict of interest in any matter before the administration or the Board shall refrain from participating in consideration of the proposed transaction, unless for special reasons the Board or administration requests information or interpretation from the person or  persons involved. The person or persons involved should </w:t>
      </w:r>
      <w:r>
        <w:rPr>
          <w:color w:val="161616"/>
          <w:u w:val="single" w:color="000000"/>
        </w:rPr>
        <w:t xml:space="preserve">not </w:t>
      </w:r>
      <w:r>
        <w:rPr>
          <w:color w:val="161616"/>
        </w:rPr>
        <w:t xml:space="preserve">vote on such matters and should not be present at the time of </w:t>
      </w:r>
      <w:r w:rsidR="00F16194">
        <w:rPr>
          <w:color w:val="161616"/>
        </w:rPr>
        <w:t>vote</w:t>
      </w:r>
      <w:r w:rsidR="00F16194">
        <w:rPr>
          <w:color w:val="161616"/>
          <w:spacing w:val="-48"/>
        </w:rPr>
        <w:t>.</w:t>
      </w:r>
    </w:p>
    <w:p w:rsidR="0015535F" w:rsidRDefault="0015535F">
      <w:pPr>
        <w:spacing w:before="11"/>
        <w:rPr>
          <w:rFonts w:ascii="Arial" w:eastAsia="Arial" w:hAnsi="Arial" w:cs="Arial"/>
          <w:sz w:val="19"/>
          <w:szCs w:val="19"/>
        </w:rPr>
      </w:pPr>
    </w:p>
    <w:p w:rsidR="0015535F" w:rsidRDefault="005D298E">
      <w:pPr>
        <w:pStyle w:val="BodyText"/>
        <w:spacing w:line="242" w:lineRule="auto"/>
        <w:ind w:left="465" w:right="134" w:firstLine="4"/>
        <w:jc w:val="both"/>
      </w:pPr>
      <w:r>
        <w:rPr>
          <w:color w:val="161616"/>
        </w:rPr>
        <w:t>Any Board member who is uncertain about possible conflict of interest in any matter may request the Board to determine whether a possible conflict prevails; the Board shall resolve the question by majority vote. When possible, the question of potential conflict should be referred to counsel for an opinion prior to the Board's</w:t>
      </w:r>
      <w:r>
        <w:rPr>
          <w:color w:val="161616"/>
          <w:spacing w:val="2"/>
        </w:rPr>
        <w:t xml:space="preserve"> </w:t>
      </w:r>
      <w:r>
        <w:rPr>
          <w:color w:val="161616"/>
        </w:rPr>
        <w:t>vote.</w:t>
      </w:r>
    </w:p>
    <w:p w:rsidR="0015535F" w:rsidRDefault="0015535F">
      <w:pPr>
        <w:rPr>
          <w:rFonts w:ascii="Arial" w:eastAsia="Arial" w:hAnsi="Arial" w:cs="Arial"/>
          <w:sz w:val="20"/>
          <w:szCs w:val="20"/>
        </w:rPr>
      </w:pPr>
    </w:p>
    <w:p w:rsidR="0015535F" w:rsidRDefault="0015535F">
      <w:pPr>
        <w:rPr>
          <w:rFonts w:ascii="Arial" w:eastAsia="Arial" w:hAnsi="Arial" w:cs="Arial"/>
          <w:sz w:val="20"/>
          <w:szCs w:val="20"/>
        </w:rPr>
      </w:pPr>
    </w:p>
    <w:p w:rsidR="0015535F" w:rsidRDefault="0015535F">
      <w:pPr>
        <w:spacing w:before="5"/>
        <w:rPr>
          <w:rFonts w:ascii="Arial" w:eastAsia="Arial" w:hAnsi="Arial" w:cs="Arial"/>
          <w:sz w:val="20"/>
          <w:szCs w:val="20"/>
        </w:rPr>
      </w:pPr>
    </w:p>
    <w:p w:rsidR="0015535F" w:rsidRDefault="005D298E">
      <w:pPr>
        <w:pStyle w:val="BodyText"/>
        <w:spacing w:line="244" w:lineRule="auto"/>
        <w:ind w:right="7605" w:hanging="10"/>
      </w:pPr>
      <w:r>
        <w:rPr>
          <w:color w:val="161616"/>
        </w:rPr>
        <w:t>Adopted by the Board of</w:t>
      </w:r>
      <w:r>
        <w:rPr>
          <w:color w:val="161616"/>
          <w:spacing w:val="-20"/>
        </w:rPr>
        <w:t xml:space="preserve"> </w:t>
      </w:r>
      <w:r>
        <w:rPr>
          <w:color w:val="161616"/>
        </w:rPr>
        <w:t>Trustees Southern Arkansas</w:t>
      </w:r>
      <w:r>
        <w:rPr>
          <w:color w:val="161616"/>
          <w:spacing w:val="-28"/>
        </w:rPr>
        <w:t xml:space="preserve"> </w:t>
      </w:r>
      <w:r>
        <w:rPr>
          <w:color w:val="161616"/>
        </w:rPr>
        <w:t>University</w:t>
      </w:r>
    </w:p>
    <w:p w:rsidR="0015535F" w:rsidRDefault="0015535F">
      <w:pPr>
        <w:spacing w:before="10"/>
        <w:rPr>
          <w:rFonts w:ascii="Arial" w:eastAsia="Arial" w:hAnsi="Arial" w:cs="Arial"/>
          <w:sz w:val="19"/>
          <w:szCs w:val="19"/>
        </w:rPr>
      </w:pPr>
    </w:p>
    <w:p w:rsidR="0015535F" w:rsidRDefault="005D298E">
      <w:pPr>
        <w:pStyle w:val="BodyText"/>
        <w:jc w:val="both"/>
      </w:pPr>
      <w:r>
        <w:rPr>
          <w:color w:val="161616"/>
        </w:rPr>
        <w:t>September 15, 1983</w:t>
      </w:r>
      <w:r>
        <w:rPr>
          <w:color w:val="161616"/>
          <w:spacing w:val="11"/>
        </w:rPr>
        <w:t xml:space="preserve"> </w:t>
      </w:r>
      <w:r>
        <w:rPr>
          <w:color w:val="7C7C7C"/>
        </w:rPr>
        <w:t>·</w:t>
      </w:r>
    </w:p>
    <w:sectPr w:rsidR="0015535F">
      <w:pgSz w:w="12240" w:h="15840"/>
      <w:pgMar w:top="1200" w:right="7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B68B5"/>
    <w:multiLevelType w:val="hybridMultilevel"/>
    <w:tmpl w:val="6EF62E68"/>
    <w:lvl w:ilvl="0" w:tplc="A716AB4A">
      <w:start w:val="1"/>
      <w:numFmt w:val="decimal"/>
      <w:lvlText w:val="%1."/>
      <w:lvlJc w:val="left"/>
      <w:pPr>
        <w:ind w:left="489" w:hanging="353"/>
        <w:jc w:val="left"/>
      </w:pPr>
      <w:rPr>
        <w:rFonts w:ascii="Arial" w:eastAsia="Arial" w:hAnsi="Arial" w:hint="default"/>
        <w:b/>
        <w:bCs/>
        <w:color w:val="161616"/>
        <w:w w:val="98"/>
        <w:sz w:val="20"/>
        <w:szCs w:val="20"/>
      </w:rPr>
    </w:lvl>
    <w:lvl w:ilvl="1" w:tplc="BF2A26AA">
      <w:start w:val="1"/>
      <w:numFmt w:val="lowerLetter"/>
      <w:lvlText w:val="%2."/>
      <w:lvlJc w:val="left"/>
      <w:pPr>
        <w:ind w:left="832" w:hanging="367"/>
        <w:jc w:val="left"/>
      </w:pPr>
      <w:rPr>
        <w:rFonts w:ascii="Arial" w:eastAsia="Arial" w:hAnsi="Arial" w:hint="default"/>
        <w:color w:val="161616"/>
        <w:w w:val="94"/>
        <w:sz w:val="20"/>
        <w:szCs w:val="20"/>
      </w:rPr>
    </w:lvl>
    <w:lvl w:ilvl="2" w:tplc="B37E591A">
      <w:start w:val="1"/>
      <w:numFmt w:val="bullet"/>
      <w:lvlText w:val="•"/>
      <w:lvlJc w:val="left"/>
      <w:pPr>
        <w:ind w:left="1975" w:hanging="367"/>
      </w:pPr>
      <w:rPr>
        <w:rFonts w:hint="default"/>
      </w:rPr>
    </w:lvl>
    <w:lvl w:ilvl="3" w:tplc="D7BCCFBE">
      <w:start w:val="1"/>
      <w:numFmt w:val="bullet"/>
      <w:lvlText w:val="•"/>
      <w:lvlJc w:val="left"/>
      <w:pPr>
        <w:ind w:left="3111" w:hanging="367"/>
      </w:pPr>
      <w:rPr>
        <w:rFonts w:hint="default"/>
      </w:rPr>
    </w:lvl>
    <w:lvl w:ilvl="4" w:tplc="5A201748">
      <w:start w:val="1"/>
      <w:numFmt w:val="bullet"/>
      <w:lvlText w:val="•"/>
      <w:lvlJc w:val="left"/>
      <w:pPr>
        <w:ind w:left="4246" w:hanging="367"/>
      </w:pPr>
      <w:rPr>
        <w:rFonts w:hint="default"/>
      </w:rPr>
    </w:lvl>
    <w:lvl w:ilvl="5" w:tplc="8826B8FA">
      <w:start w:val="1"/>
      <w:numFmt w:val="bullet"/>
      <w:lvlText w:val="•"/>
      <w:lvlJc w:val="left"/>
      <w:pPr>
        <w:ind w:left="5382" w:hanging="367"/>
      </w:pPr>
      <w:rPr>
        <w:rFonts w:hint="default"/>
      </w:rPr>
    </w:lvl>
    <w:lvl w:ilvl="6" w:tplc="CC461A14">
      <w:start w:val="1"/>
      <w:numFmt w:val="bullet"/>
      <w:lvlText w:val="•"/>
      <w:lvlJc w:val="left"/>
      <w:pPr>
        <w:ind w:left="6517" w:hanging="367"/>
      </w:pPr>
      <w:rPr>
        <w:rFonts w:hint="default"/>
      </w:rPr>
    </w:lvl>
    <w:lvl w:ilvl="7" w:tplc="C7A219A2">
      <w:start w:val="1"/>
      <w:numFmt w:val="bullet"/>
      <w:lvlText w:val="•"/>
      <w:lvlJc w:val="left"/>
      <w:pPr>
        <w:ind w:left="7653" w:hanging="367"/>
      </w:pPr>
      <w:rPr>
        <w:rFonts w:hint="default"/>
      </w:rPr>
    </w:lvl>
    <w:lvl w:ilvl="8" w:tplc="9E9683BA">
      <w:start w:val="1"/>
      <w:numFmt w:val="bullet"/>
      <w:lvlText w:val="•"/>
      <w:lvlJc w:val="left"/>
      <w:pPr>
        <w:ind w:left="8788" w:hanging="3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5F"/>
    <w:rsid w:val="00022749"/>
    <w:rsid w:val="0005348B"/>
    <w:rsid w:val="0015535F"/>
    <w:rsid w:val="002F5E10"/>
    <w:rsid w:val="003C5516"/>
    <w:rsid w:val="005D298E"/>
    <w:rsid w:val="006B010D"/>
    <w:rsid w:val="006D74B6"/>
    <w:rsid w:val="00935220"/>
    <w:rsid w:val="00B83808"/>
    <w:rsid w:val="00C55A6B"/>
    <w:rsid w:val="00D754C0"/>
    <w:rsid w:val="00F1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AF79F-91B9-40C7-83BD-933A45D2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89" w:hanging="372"/>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4"/>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Southern Arkansas University</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LaTricia Davis</dc:creator>
  <cp:lastModifiedBy>LaTricia Davis</cp:lastModifiedBy>
  <cp:revision>2</cp:revision>
  <dcterms:created xsi:type="dcterms:W3CDTF">2021-11-11T17:33:00Z</dcterms:created>
  <dcterms:modified xsi:type="dcterms:W3CDTF">2021-11-11T17:33:00Z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2013-01-02T00:00:00Z</vt:filetime>
  </property>
  <property fmtid="{D5CDD505-2E9C-101B-9397-08002B2CF9AE}" pid="3" name="Creator">
    <vt:lpwstr>Canon iR-ADV C5045  PDF</vt:lpwstr>
  </property>
  <property fmtid="{D5CDD505-2E9C-101B-9397-08002B2CF9AE}" pid="4" name="LastSaved">
    <vt:filetime>2015-12-10T00:00:00Z</vt:filetime>
  </property>
</Properties>
</file>